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ind w:firstLine="80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2024年东南大学/兵器工业集团联合培养</w:t>
      </w:r>
    </w:p>
    <w:p>
      <w:pPr>
        <w:adjustRightInd/>
        <w:snapToGrid/>
        <w:spacing w:line="560" w:lineRule="exact"/>
        <w:ind w:firstLine="80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研究生招生简章</w:t>
      </w:r>
    </w:p>
    <w:p>
      <w:pPr>
        <w:adjustRightInd/>
        <w:snapToGrid/>
        <w:spacing w:line="560" w:lineRule="exact"/>
        <w:ind w:firstLine="800"/>
        <w:jc w:val="center"/>
        <w:rPr>
          <w:rFonts w:ascii="方正小标宋简体" w:hAnsi="方正小标宋简体" w:eastAsia="方正小标宋简体" w:cs="方正小标宋简体"/>
          <w:sz w:val="40"/>
          <w:szCs w:val="40"/>
        </w:rPr>
      </w:pPr>
    </w:p>
    <w:p>
      <w:pPr>
        <w:pStyle w:val="2"/>
        <w:ind w:left="-243" w:firstLineChars="0"/>
      </w:pPr>
      <w:r>
        <w:rPr>
          <w:rFonts w:hint="eastAsia"/>
        </w:rPr>
        <w:t>企业介绍</w:t>
      </w:r>
    </w:p>
    <w:p>
      <w:pPr>
        <w:pStyle w:val="3"/>
        <w:pageBreakBefore w:val="0"/>
        <w:kinsoku/>
        <w:wordWrap/>
        <w:overflowPunct/>
        <w:topLinePunct w:val="0"/>
        <w:autoSpaceDE/>
        <w:autoSpaceDN/>
        <w:bidi w:val="0"/>
        <w:snapToGrid w:val="0"/>
        <w:spacing w:line="560" w:lineRule="exact"/>
        <w:ind w:firstLine="643"/>
        <w:textAlignment w:val="auto"/>
      </w:pPr>
      <w:r>
        <w:rPr>
          <w:rFonts w:hint="eastAsia"/>
        </w:rPr>
        <w:t>（一）中央企业介绍</w:t>
      </w:r>
    </w:p>
    <w:p>
      <w:pPr>
        <w:pStyle w:val="7"/>
        <w:pageBreakBefore w:val="0"/>
        <w:kinsoku/>
        <w:wordWrap/>
        <w:overflowPunct/>
        <w:topLinePunct w:val="0"/>
        <w:autoSpaceDE/>
        <w:autoSpaceDN/>
        <w:bidi w:val="0"/>
        <w:snapToGrid w:val="0"/>
        <w:spacing w:before="0" w:beforeAutospacing="0" w:after="0" w:afterAutospacing="0" w:line="560" w:lineRule="exact"/>
        <w:ind w:firstLine="561"/>
        <w:textAlignment w:val="auto"/>
        <w:rPr>
          <w:rFonts w:ascii="Calibri" w:hAnsi="Calibri" w:eastAsia="仿宋" w:cs="Times New Roman"/>
          <w:kern w:val="2"/>
          <w:sz w:val="32"/>
          <w:szCs w:val="22"/>
        </w:rPr>
      </w:pPr>
      <w:r>
        <w:rPr>
          <w:rFonts w:hint="eastAsia" w:ascii="Calibri" w:hAnsi="Calibri" w:eastAsia="仿宋" w:cs="Times New Roman"/>
          <w:kern w:val="2"/>
          <w:sz w:val="32"/>
          <w:szCs w:val="22"/>
        </w:rPr>
        <w:t>兵器工业集团作为党执政兴国的重要依靠力量，是国家战略科技力量的重要组成部分，是国家安全和国防建设的主力军。</w:t>
      </w:r>
    </w:p>
    <w:p>
      <w:pPr>
        <w:pStyle w:val="7"/>
        <w:pageBreakBefore w:val="0"/>
        <w:kinsoku/>
        <w:wordWrap/>
        <w:overflowPunct/>
        <w:topLinePunct w:val="0"/>
        <w:autoSpaceDE/>
        <w:autoSpaceDN/>
        <w:bidi w:val="0"/>
        <w:snapToGrid w:val="0"/>
        <w:spacing w:before="0" w:beforeAutospacing="0" w:after="0" w:afterAutospacing="0" w:line="560" w:lineRule="exact"/>
        <w:ind w:firstLine="561"/>
        <w:textAlignment w:val="auto"/>
        <w:rPr>
          <w:rFonts w:ascii="Calibri" w:hAnsi="Calibri" w:eastAsia="仿宋" w:cs="Times New Roman"/>
          <w:kern w:val="2"/>
          <w:sz w:val="32"/>
          <w:szCs w:val="22"/>
        </w:rPr>
      </w:pPr>
      <w:r>
        <w:rPr>
          <w:rFonts w:hint="eastAsia" w:ascii="Calibri" w:hAnsi="Calibri" w:eastAsia="仿宋" w:cs="Times New Roman"/>
          <w:kern w:val="2"/>
          <w:sz w:val="32"/>
          <w:szCs w:val="22"/>
        </w:rPr>
        <w:t>兵器工业集团始终坚持国家利益至上，将装备保障放在首要位置，是各大军工集团中唯一一家面向陆军、海军、空军、火箭军、战略支援部队以及武警公安提供武器装备和技术保障服务的企业集团，除了为陆军提供坦克装甲车辆、远程压制、防空反导等主战装备之外，还向各军兵种提供智能化弹药、光电信息、毁伤技术等战略性、基础性产品。</w:t>
      </w:r>
    </w:p>
    <w:p>
      <w:pPr>
        <w:pStyle w:val="7"/>
        <w:pageBreakBefore w:val="0"/>
        <w:kinsoku/>
        <w:wordWrap/>
        <w:overflowPunct/>
        <w:topLinePunct w:val="0"/>
        <w:autoSpaceDE/>
        <w:autoSpaceDN/>
        <w:bidi w:val="0"/>
        <w:snapToGrid w:val="0"/>
        <w:spacing w:before="0" w:beforeAutospacing="0" w:after="0" w:afterAutospacing="0" w:line="560" w:lineRule="exact"/>
        <w:ind w:firstLine="560"/>
        <w:textAlignment w:val="auto"/>
        <w:rPr>
          <w:rFonts w:ascii="Calibri" w:hAnsi="Calibri" w:eastAsia="仿宋" w:cs="Times New Roman"/>
          <w:kern w:val="2"/>
          <w:sz w:val="32"/>
          <w:szCs w:val="22"/>
        </w:rPr>
      </w:pPr>
      <w:r>
        <w:rPr>
          <w:rFonts w:hint="eastAsia" w:ascii="Calibri" w:hAnsi="Calibri" w:eastAsia="仿宋" w:cs="Times New Roman"/>
          <w:kern w:val="2"/>
          <w:sz w:val="32"/>
          <w:szCs w:val="22"/>
        </w:rPr>
        <w:t>同时，兵器工业集团积极推进军工技术民用化、产业化，集中力量打造汽车零部件、工程机械设备、铁路产品、石油化工、特种化工、民爆、光电信息、北斗产业、智能制造、应急产业等先进制造业板块和贸易流通、工程技术管理、金融服务等现代服务业板块；深入贯彻落实国家“一带一路”倡议，着力推动我国装备“走出去”和国际产能合作，大力发展军贸、战略资源开发、国际工程承包、产品出口及技术引进等国际化经营业务。</w:t>
      </w:r>
    </w:p>
    <w:p>
      <w:pPr>
        <w:pStyle w:val="7"/>
        <w:pageBreakBefore w:val="0"/>
        <w:kinsoku/>
        <w:wordWrap/>
        <w:overflowPunct/>
        <w:topLinePunct w:val="0"/>
        <w:autoSpaceDE/>
        <w:autoSpaceDN/>
        <w:bidi w:val="0"/>
        <w:snapToGrid w:val="0"/>
        <w:spacing w:before="0" w:beforeAutospacing="0" w:after="0" w:afterAutospacing="0" w:line="560" w:lineRule="exact"/>
        <w:ind w:firstLine="560"/>
        <w:textAlignment w:val="auto"/>
        <w:rPr>
          <w:rFonts w:ascii="Calibri" w:hAnsi="Calibri" w:eastAsia="仿宋" w:cs="Times New Roman"/>
          <w:kern w:val="2"/>
          <w:sz w:val="32"/>
          <w:szCs w:val="22"/>
        </w:rPr>
      </w:pPr>
      <w:r>
        <w:rPr>
          <w:rFonts w:hint="eastAsia" w:ascii="Calibri" w:hAnsi="Calibri" w:eastAsia="仿宋" w:cs="Times New Roman"/>
          <w:kern w:val="2"/>
          <w:sz w:val="32"/>
          <w:szCs w:val="22"/>
        </w:rPr>
        <w:t>兵器工业集团现有50余家子集团和直管单位，主要分布在北京、陕西、内蒙古等29个省、市、自治区，在全球70余个国家和地区设立了100余家境外分子公司和代表处。2022年末，集团公司资产总额5197亿元，人员总量22余万人，连续19个年度和6个任期蝉联国务院国资委业绩考核A级，位列世界500强企业排名第146位。</w:t>
      </w:r>
    </w:p>
    <w:p>
      <w:pPr>
        <w:pStyle w:val="3"/>
        <w:pageBreakBefore w:val="0"/>
        <w:kinsoku/>
        <w:wordWrap/>
        <w:overflowPunct/>
        <w:topLinePunct w:val="0"/>
        <w:autoSpaceDE/>
        <w:autoSpaceDN/>
        <w:bidi w:val="0"/>
        <w:snapToGrid w:val="0"/>
        <w:spacing w:line="560" w:lineRule="exact"/>
        <w:ind w:firstLine="643"/>
        <w:textAlignment w:val="auto"/>
      </w:pPr>
      <w:r>
        <w:rPr>
          <w:rFonts w:hint="eastAsia"/>
        </w:rPr>
        <w:t>（二）需求企业介绍</w:t>
      </w:r>
    </w:p>
    <w:p>
      <w:pPr>
        <w:pageBreakBefore w:val="0"/>
        <w:kinsoku/>
        <w:wordWrap/>
        <w:overflowPunct/>
        <w:topLinePunct w:val="0"/>
        <w:autoSpaceDE/>
        <w:autoSpaceDN/>
        <w:bidi w:val="0"/>
        <w:snapToGrid w:val="0"/>
        <w:spacing w:line="560" w:lineRule="exact"/>
        <w:ind w:firstLine="640"/>
        <w:textAlignment w:val="auto"/>
        <w:rPr>
          <w:rFonts w:hint="eastAsia"/>
          <w:lang w:eastAsia="zh-CN"/>
        </w:rPr>
      </w:pPr>
      <w:r>
        <w:rPr>
          <w:rFonts w:hint="eastAsia"/>
          <w:lang w:val="en-US" w:eastAsia="zh-CN"/>
        </w:rPr>
        <w:t xml:space="preserve">1. </w:t>
      </w:r>
      <w:r>
        <w:rPr>
          <w:rFonts w:hint="eastAsia"/>
        </w:rPr>
        <w:t>北方激光研究院有限公司</w:t>
      </w:r>
    </w:p>
    <w:p>
      <w:pPr>
        <w:pageBreakBefore w:val="0"/>
        <w:kinsoku/>
        <w:wordWrap/>
        <w:overflowPunct/>
        <w:topLinePunct w:val="0"/>
        <w:autoSpaceDE/>
        <w:autoSpaceDN/>
        <w:bidi w:val="0"/>
        <w:snapToGrid w:val="0"/>
        <w:spacing w:line="560" w:lineRule="exact"/>
        <w:ind w:firstLine="640"/>
        <w:textAlignment w:val="auto"/>
      </w:pPr>
      <w:r>
        <w:rPr>
          <w:rFonts w:hint="eastAsia"/>
        </w:rPr>
        <w:t>前身西南技术物理研究所，</w:t>
      </w:r>
      <w:r>
        <w:t>创立于1958年，由中国科学院四川分院物理研究所演变而来，是兵器工业集团直管单位，是我国率先从事军用激光技术研究的专业机构。</w:t>
      </w:r>
    </w:p>
    <w:p>
      <w:pPr>
        <w:pageBreakBefore w:val="0"/>
        <w:kinsoku/>
        <w:wordWrap/>
        <w:overflowPunct/>
        <w:topLinePunct w:val="0"/>
        <w:autoSpaceDE/>
        <w:autoSpaceDN/>
        <w:bidi w:val="0"/>
        <w:snapToGrid w:val="0"/>
        <w:spacing w:line="560" w:lineRule="exact"/>
        <w:ind w:firstLine="640"/>
        <w:textAlignment w:val="auto"/>
      </w:pPr>
      <w:r>
        <w:rPr>
          <w:rFonts w:hint="eastAsia"/>
        </w:rPr>
        <w:t>北方激光研究院有限公司激光院</w:t>
      </w:r>
      <w:r>
        <w:t>位于四川省成都市，总占地面积254亩，分为武侯和双流两个工作区。现有职工1</w:t>
      </w:r>
      <w:r>
        <w:rPr>
          <w:rFonts w:hint="eastAsia"/>
        </w:rPr>
        <w:t>5</w:t>
      </w:r>
      <w:r>
        <w:t>00余人，其中中国兵器首席科学家6人，中国兵器科技带头人11人，中国兵器青年科技带头人9人，历年来享受政府特殊津贴30余人，设有光学工程学科博士与硕士学位授予点，建有博士后工作站。</w:t>
      </w:r>
    </w:p>
    <w:p>
      <w:pPr>
        <w:pageBreakBefore w:val="0"/>
        <w:kinsoku/>
        <w:wordWrap/>
        <w:overflowPunct/>
        <w:topLinePunct w:val="0"/>
        <w:autoSpaceDE/>
        <w:autoSpaceDN/>
        <w:bidi w:val="0"/>
        <w:snapToGrid w:val="0"/>
        <w:spacing w:line="560" w:lineRule="exact"/>
        <w:ind w:firstLine="640"/>
        <w:textAlignment w:val="auto"/>
      </w:pPr>
      <w:r>
        <w:t>先后获得40余项国家级科技成果奖、完成200余项省部级科技成果鉴定，数十项科技成果转移形成激光产业集群，曾创下中国激光史上的“五个第一”和装备史上“六个第一”。</w:t>
      </w:r>
    </w:p>
    <w:p>
      <w:pPr>
        <w:pageBreakBefore w:val="0"/>
        <w:kinsoku/>
        <w:wordWrap/>
        <w:overflowPunct/>
        <w:topLinePunct w:val="0"/>
        <w:autoSpaceDE/>
        <w:autoSpaceDN/>
        <w:bidi w:val="0"/>
        <w:snapToGrid w:val="0"/>
        <w:spacing w:line="560" w:lineRule="exact"/>
        <w:ind w:firstLine="640"/>
        <w:textAlignment w:val="auto"/>
      </w:pPr>
      <w:r>
        <w:t>主办的《激光技术》杂志是学术与技术兼容，理论和实践并重的期刊，也是中文核心期刊和中国科技核心期刊最早收录的期刊之一。记录、推广、宣传、交流我国激光技术研究开发和应用的成就，为我国科学研究、教学、生产及应用实时地提供最新信息。</w:t>
      </w:r>
    </w:p>
    <w:p>
      <w:pPr>
        <w:pageBreakBefore w:val="0"/>
        <w:kinsoku/>
        <w:wordWrap/>
        <w:overflowPunct/>
        <w:topLinePunct w:val="0"/>
        <w:autoSpaceDE/>
        <w:autoSpaceDN/>
        <w:bidi w:val="0"/>
        <w:snapToGrid w:val="0"/>
        <w:spacing w:line="560" w:lineRule="exact"/>
        <w:ind w:firstLine="640"/>
        <w:textAlignment w:val="auto"/>
      </w:pPr>
      <w:r>
        <w:t>经过60余年的发展，</w:t>
      </w:r>
      <w:r>
        <w:rPr>
          <w:rFonts w:hint="eastAsia"/>
        </w:rPr>
        <w:t>北方激光研究院有限公司</w:t>
      </w:r>
      <w:r>
        <w:t>已从一个从事激光基础研究和器件研制的单位，发展成为以光电技术和制导技术为两大专业方向，在激光武器、激光探测器、光电对抗、激光应用系统、制导技术、光电信息系统等领域具有较强技术优势的科研生产一体化单位，在国防科技工业领域占据重要地位。</w:t>
      </w:r>
    </w:p>
    <w:p>
      <w:pPr>
        <w:pageBreakBefore w:val="0"/>
        <w:numPr>
          <w:ilvl w:val="0"/>
          <w:numId w:val="3"/>
        </w:numPr>
        <w:kinsoku/>
        <w:wordWrap/>
        <w:overflowPunct/>
        <w:topLinePunct w:val="0"/>
        <w:autoSpaceDE/>
        <w:autoSpaceDN/>
        <w:bidi w:val="0"/>
        <w:snapToGrid w:val="0"/>
        <w:spacing w:line="560" w:lineRule="exact"/>
        <w:ind w:firstLine="640"/>
        <w:textAlignment w:val="auto"/>
        <w:rPr>
          <w:rFonts w:hint="eastAsia"/>
          <w:lang w:eastAsia="zh-CN"/>
        </w:rPr>
      </w:pPr>
      <w:r>
        <w:rPr>
          <w:rFonts w:hint="eastAsia"/>
        </w:rPr>
        <w:t>北方夜视科技研究院集团有限公司</w:t>
      </w:r>
    </w:p>
    <w:p>
      <w:pPr>
        <w:pageBreakBefore w:val="0"/>
        <w:kinsoku/>
        <w:wordWrap/>
        <w:overflowPunct/>
        <w:topLinePunct w:val="0"/>
        <w:autoSpaceDE/>
        <w:autoSpaceDN/>
        <w:bidi w:val="0"/>
        <w:snapToGrid w:val="0"/>
        <w:spacing w:line="560" w:lineRule="exact"/>
        <w:ind w:firstLine="640"/>
        <w:textAlignment w:val="auto"/>
      </w:pPr>
      <w:r>
        <w:rPr>
          <w:rFonts w:hint="eastAsia"/>
        </w:rPr>
        <w:t>中国兵器北方夜视科技研究院集团有限公司简称“夜视院集团”，隶属于中国兵器工业集团有限公司，是国内专业化水平最高、规模最大的以红外、微光技术为主的光电夜视产业集团。夜视院集团总部设在昆明市，在昆明、南京、西安设有科研生产基地。</w:t>
      </w:r>
    </w:p>
    <w:p>
      <w:pPr>
        <w:pageBreakBefore w:val="0"/>
        <w:kinsoku/>
        <w:wordWrap/>
        <w:overflowPunct/>
        <w:topLinePunct w:val="0"/>
        <w:autoSpaceDE/>
        <w:autoSpaceDN/>
        <w:bidi w:val="0"/>
        <w:snapToGrid w:val="0"/>
        <w:spacing w:line="560" w:lineRule="exact"/>
        <w:ind w:firstLine="640"/>
        <w:textAlignment w:val="auto"/>
      </w:pPr>
      <w:r>
        <w:rPr>
          <w:rFonts w:hint="eastAsia"/>
        </w:rPr>
        <w:t>夜视院集团拥有院士，兵器集团高层次人才专家、科技带头人、青年科技带头人、首席技师、技能带头人，夜视院集团级科技带头人、科技骨干、技能带头人，云南省各类专业人才和团队等。拥有光学工程硕士、博士一级学科学位授予权和博士后科研工作站、微光重点实验室等。</w:t>
      </w:r>
    </w:p>
    <w:p>
      <w:pPr>
        <w:pageBreakBefore w:val="0"/>
        <w:kinsoku/>
        <w:wordWrap/>
        <w:overflowPunct/>
        <w:topLinePunct w:val="0"/>
        <w:autoSpaceDE/>
        <w:autoSpaceDN/>
        <w:bidi w:val="0"/>
        <w:snapToGrid w:val="0"/>
        <w:spacing w:line="560" w:lineRule="exact"/>
        <w:ind w:firstLine="640"/>
        <w:textAlignment w:val="auto"/>
      </w:pPr>
      <w:r>
        <w:rPr>
          <w:rFonts w:hint="eastAsia"/>
        </w:rPr>
        <w:t>目前拥有员工3</w:t>
      </w:r>
      <w:r>
        <w:t>700</w:t>
      </w:r>
      <w:r>
        <w:rPr>
          <w:rFonts w:hint="eastAsia"/>
        </w:rPr>
        <w:t>余人，其中博士1</w:t>
      </w:r>
      <w:r>
        <w:t>30</w:t>
      </w:r>
      <w:r>
        <w:rPr>
          <w:rFonts w:hint="eastAsia"/>
        </w:rPr>
        <w:t>余人，硕士9</w:t>
      </w:r>
      <w:r>
        <w:t>20</w:t>
      </w:r>
      <w:r>
        <w:rPr>
          <w:rFonts w:hint="eastAsia"/>
        </w:rPr>
        <w:t>余人，正高级工程师2</w:t>
      </w:r>
      <w:r>
        <w:t>10</w:t>
      </w:r>
      <w:r>
        <w:rPr>
          <w:rFonts w:hint="eastAsia"/>
        </w:rPr>
        <w:t>余人，高级工程师4</w:t>
      </w:r>
      <w:r>
        <w:t>00</w:t>
      </w:r>
      <w:r>
        <w:rPr>
          <w:rFonts w:hint="eastAsia"/>
        </w:rPr>
        <w:t>余人，博士、硕士研究生导师</w:t>
      </w:r>
      <w:r>
        <w:t>81</w:t>
      </w:r>
      <w:r>
        <w:rPr>
          <w:rFonts w:hint="eastAsia"/>
        </w:rPr>
        <w:t>人。</w:t>
      </w:r>
    </w:p>
    <w:p>
      <w:pPr>
        <w:pStyle w:val="2"/>
        <w:ind w:left="-243" w:firstLineChars="0"/>
      </w:pPr>
      <w:r>
        <w:rPr>
          <w:rFonts w:hint="eastAsia"/>
        </w:rPr>
        <w:t>招生院系、专业与人数</w:t>
      </w:r>
    </w:p>
    <w:p>
      <w:pPr>
        <w:pStyle w:val="3"/>
        <w:pageBreakBefore w:val="0"/>
        <w:kinsoku/>
        <w:wordWrap/>
        <w:overflowPunct/>
        <w:topLinePunct w:val="0"/>
        <w:autoSpaceDE/>
        <w:autoSpaceDN/>
        <w:bidi w:val="0"/>
        <w:snapToGrid w:val="0"/>
        <w:spacing w:line="560" w:lineRule="exact"/>
        <w:ind w:firstLine="643"/>
        <w:textAlignment w:val="auto"/>
        <w:rPr>
          <w:rFonts w:hint="eastAsia"/>
        </w:rPr>
      </w:pPr>
      <w:r>
        <w:rPr>
          <w:rFonts w:hint="eastAsia"/>
          <w:lang w:eastAsia="zh-CN"/>
        </w:rPr>
        <w:t>（一）</w:t>
      </w:r>
      <w:r>
        <w:rPr>
          <w:rFonts w:hint="eastAsia"/>
        </w:rPr>
        <w:t>专项学生招生专业目录</w:t>
      </w:r>
    </w:p>
    <w:p>
      <w:pPr>
        <w:widowControl w:val="0"/>
        <w:numPr>
          <w:ilvl w:val="0"/>
          <w:numId w:val="0"/>
        </w:numPr>
        <w:adjustRightInd w:val="0"/>
        <w:snapToGrid w:val="0"/>
        <w:spacing w:line="560" w:lineRule="atLeast"/>
        <w:jc w:val="both"/>
      </w:pPr>
    </w:p>
    <w:p>
      <w:pPr>
        <w:widowControl w:val="0"/>
        <w:numPr>
          <w:ilvl w:val="0"/>
          <w:numId w:val="0"/>
        </w:numPr>
        <w:adjustRightInd w:val="0"/>
        <w:snapToGrid w:val="0"/>
        <w:spacing w:line="560" w:lineRule="atLeast"/>
        <w:jc w:val="both"/>
      </w:pPr>
    </w:p>
    <w:p>
      <w:pPr>
        <w:widowControl w:val="0"/>
        <w:numPr>
          <w:ilvl w:val="0"/>
          <w:numId w:val="0"/>
        </w:numPr>
        <w:adjustRightInd w:val="0"/>
        <w:snapToGrid w:val="0"/>
        <w:spacing w:line="560" w:lineRule="atLeast"/>
        <w:jc w:val="both"/>
      </w:pPr>
    </w:p>
    <w:tbl>
      <w:tblPr>
        <w:tblStyle w:val="9"/>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490"/>
        <w:gridCol w:w="1302"/>
        <w:gridCol w:w="964"/>
        <w:gridCol w:w="1442"/>
        <w:gridCol w:w="1496"/>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cs="仿宋"/>
                <w:sz w:val="24"/>
                <w:szCs w:val="24"/>
              </w:rPr>
            </w:pPr>
            <w:r>
              <w:rPr>
                <w:rFonts w:hint="eastAsia" w:ascii="仿宋" w:hAnsi="仿宋" w:cs="仿宋"/>
                <w:sz w:val="24"/>
                <w:szCs w:val="24"/>
              </w:rPr>
              <w:t>需求企业</w:t>
            </w:r>
          </w:p>
        </w:tc>
        <w:tc>
          <w:tcPr>
            <w:tcW w:w="14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cs="仿宋"/>
                <w:sz w:val="24"/>
                <w:szCs w:val="24"/>
              </w:rPr>
            </w:pPr>
            <w:r>
              <w:rPr>
                <w:rFonts w:hint="eastAsia" w:ascii="仿宋" w:hAnsi="仿宋" w:cs="仿宋"/>
                <w:sz w:val="24"/>
                <w:szCs w:val="24"/>
              </w:rPr>
              <w:t>招生院系</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cs="仿宋"/>
                <w:sz w:val="24"/>
                <w:szCs w:val="24"/>
              </w:rPr>
            </w:pPr>
            <w:r>
              <w:rPr>
                <w:rFonts w:hint="eastAsia" w:ascii="仿宋" w:hAnsi="仿宋" w:cs="仿宋"/>
                <w:sz w:val="24"/>
                <w:szCs w:val="24"/>
              </w:rPr>
              <w:t>招生专业</w:t>
            </w:r>
          </w:p>
        </w:tc>
        <w:tc>
          <w:tcPr>
            <w:tcW w:w="96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cs="仿宋"/>
                <w:sz w:val="24"/>
                <w:szCs w:val="24"/>
              </w:rPr>
            </w:pPr>
            <w:r>
              <w:rPr>
                <w:rFonts w:hint="eastAsia" w:ascii="仿宋" w:hAnsi="仿宋" w:cs="仿宋"/>
                <w:sz w:val="24"/>
                <w:szCs w:val="24"/>
              </w:rPr>
              <w:t>学历</w:t>
            </w:r>
          </w:p>
        </w:tc>
        <w:tc>
          <w:tcPr>
            <w:tcW w:w="144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cs="仿宋"/>
                <w:sz w:val="24"/>
                <w:szCs w:val="24"/>
              </w:rPr>
            </w:pPr>
            <w:r>
              <w:rPr>
                <w:rFonts w:hint="eastAsia" w:ascii="仿宋" w:hAnsi="仿宋" w:cs="仿宋"/>
                <w:sz w:val="24"/>
                <w:szCs w:val="24"/>
              </w:rPr>
              <w:t>培养项目/课题</w:t>
            </w: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cs="仿宋"/>
                <w:sz w:val="24"/>
                <w:szCs w:val="24"/>
              </w:rPr>
            </w:pPr>
            <w:bookmarkStart w:id="0" w:name="_GoBack"/>
            <w:bookmarkEnd w:id="0"/>
            <w:r>
              <w:rPr>
                <w:rFonts w:hint="eastAsia" w:ascii="仿宋" w:hAnsi="仿宋" w:cs="仿宋"/>
                <w:sz w:val="24"/>
                <w:szCs w:val="24"/>
              </w:rPr>
              <w:t>招生人数</w:t>
            </w:r>
          </w:p>
        </w:tc>
        <w:tc>
          <w:tcPr>
            <w:tcW w:w="7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cs="仿宋"/>
                <w:sz w:val="24"/>
                <w:szCs w:val="24"/>
              </w:rPr>
            </w:pPr>
            <w:r>
              <w:rPr>
                <w:rFonts w:hint="eastAsia" w:ascii="仿宋" w:hAnsi="仿宋" w:cs="仿宋"/>
                <w:sz w:val="24"/>
                <w:szCs w:val="24"/>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4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cs="仿宋"/>
                <w:sz w:val="24"/>
                <w:szCs w:val="24"/>
              </w:rPr>
            </w:pPr>
            <w:r>
              <w:rPr>
                <w:rFonts w:hint="eastAsia" w:ascii="仿宋" w:hAnsi="仿宋" w:cs="仿宋"/>
                <w:sz w:val="24"/>
                <w:szCs w:val="24"/>
              </w:rPr>
              <w:t>北方激光研究院有限公司</w:t>
            </w:r>
          </w:p>
        </w:tc>
        <w:tc>
          <w:tcPr>
            <w:tcW w:w="14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cs="仿宋"/>
                <w:sz w:val="24"/>
                <w:szCs w:val="24"/>
                <w:lang w:eastAsia="zh-CN"/>
              </w:rPr>
            </w:pPr>
            <w:r>
              <w:rPr>
                <w:rFonts w:hint="eastAsia" w:ascii="仿宋" w:hAnsi="仿宋" w:cs="仿宋"/>
                <w:sz w:val="24"/>
                <w:szCs w:val="24"/>
                <w:lang w:eastAsia="zh-CN"/>
              </w:rPr>
              <w:t>集成电路学院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cs="仿宋"/>
                <w:sz w:val="24"/>
                <w:szCs w:val="24"/>
              </w:rPr>
            </w:pPr>
            <w:r>
              <w:rPr>
                <w:rFonts w:hint="eastAsia" w:ascii="仿宋" w:hAnsi="仿宋" w:cs="仿宋"/>
                <w:sz w:val="24"/>
                <w:szCs w:val="24"/>
                <w:lang w:eastAsia="zh-CN"/>
              </w:rPr>
              <w:t>集成电路</w:t>
            </w:r>
            <w:r>
              <w:rPr>
                <w:rFonts w:hint="eastAsia" w:ascii="仿宋" w:hAnsi="仿宋" w:cs="仿宋"/>
                <w:sz w:val="24"/>
                <w:szCs w:val="24"/>
              </w:rPr>
              <w:t>设计</w:t>
            </w:r>
          </w:p>
        </w:tc>
        <w:tc>
          <w:tcPr>
            <w:tcW w:w="96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cs="仿宋"/>
                <w:sz w:val="24"/>
                <w:szCs w:val="24"/>
              </w:rPr>
            </w:pPr>
            <w:r>
              <w:rPr>
                <w:rFonts w:hint="eastAsia" w:ascii="仿宋" w:hAnsi="仿宋" w:cs="仿宋"/>
                <w:sz w:val="24"/>
                <w:szCs w:val="24"/>
              </w:rPr>
              <w:t>硕士</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cs="仿宋"/>
                <w:sz w:val="24"/>
                <w:szCs w:val="24"/>
              </w:rPr>
            </w:pPr>
            <w:r>
              <w:rPr>
                <w:rFonts w:hint="eastAsia" w:ascii="仿宋" w:hAnsi="仿宋" w:cs="仿宋"/>
                <w:sz w:val="24"/>
                <w:szCs w:val="24"/>
              </w:rPr>
              <w:t>研究生</w:t>
            </w:r>
          </w:p>
        </w:tc>
        <w:tc>
          <w:tcPr>
            <w:tcW w:w="144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cs="仿宋"/>
                <w:sz w:val="24"/>
                <w:szCs w:val="24"/>
              </w:rPr>
            </w:pPr>
            <w:r>
              <w:rPr>
                <w:rFonts w:hint="eastAsia" w:ascii="仿宋" w:hAnsi="仿宋" w:cs="仿宋"/>
                <w:sz w:val="24"/>
                <w:szCs w:val="24"/>
              </w:rPr>
              <w:t>超高速微弱电流信号提取与转换电路设计技术研究</w:t>
            </w: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cs="仿宋"/>
                <w:sz w:val="24"/>
                <w:szCs w:val="24"/>
              </w:rPr>
            </w:pPr>
            <w:r>
              <w:rPr>
                <w:rFonts w:hint="eastAsia" w:ascii="仿宋" w:hAnsi="仿宋" w:cs="仿宋"/>
                <w:sz w:val="24"/>
                <w:szCs w:val="24"/>
              </w:rPr>
              <w:t>1</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ascii="仿宋" w:hAnsi="仿宋" w:cs="仿宋"/>
                <w:sz w:val="24"/>
                <w:szCs w:val="24"/>
              </w:rPr>
            </w:pPr>
          </w:p>
        </w:tc>
        <w:tc>
          <w:tcPr>
            <w:tcW w:w="7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cs="仿宋"/>
                <w:sz w:val="24"/>
                <w:szCs w:val="24"/>
              </w:rPr>
            </w:pPr>
            <w:r>
              <w:rPr>
                <w:rFonts w:hint="eastAsia" w:ascii="仿宋" w:hAnsi="仿宋" w:cs="仿宋"/>
                <w:sz w:val="24"/>
                <w:szCs w:val="24"/>
              </w:rPr>
              <w:t>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4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rPr>
              <w:t>北方激光研究院有限公司</w:t>
            </w:r>
          </w:p>
        </w:tc>
        <w:tc>
          <w:tcPr>
            <w:tcW w:w="14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cs="仿宋"/>
                <w:sz w:val="24"/>
                <w:szCs w:val="24"/>
                <w:lang w:val="en-US" w:eastAsia="zh-CN"/>
              </w:rPr>
            </w:pPr>
            <w:r>
              <w:rPr>
                <w:rFonts w:hint="eastAsia" w:ascii="仿宋" w:hAnsi="仿宋" w:cs="仿宋"/>
                <w:sz w:val="24"/>
                <w:szCs w:val="24"/>
                <w:lang w:eastAsia="zh-CN"/>
              </w:rPr>
              <w:t>集成电路学院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lang w:eastAsia="zh-CN"/>
              </w:rPr>
              <w:t>集成电路</w:t>
            </w:r>
            <w:r>
              <w:rPr>
                <w:rFonts w:hint="eastAsia" w:ascii="仿宋" w:hAnsi="仿宋" w:cs="仿宋"/>
                <w:sz w:val="24"/>
                <w:szCs w:val="24"/>
              </w:rPr>
              <w:t>设计</w:t>
            </w:r>
          </w:p>
        </w:tc>
        <w:tc>
          <w:tcPr>
            <w:tcW w:w="96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cs="仿宋"/>
                <w:sz w:val="24"/>
                <w:szCs w:val="24"/>
              </w:rPr>
            </w:pPr>
            <w:r>
              <w:rPr>
                <w:rFonts w:hint="eastAsia" w:ascii="仿宋" w:hAnsi="仿宋" w:cs="仿宋"/>
                <w:sz w:val="24"/>
                <w:szCs w:val="24"/>
              </w:rPr>
              <w:t>博士</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rPr>
              <w:t>研究生</w:t>
            </w:r>
          </w:p>
        </w:tc>
        <w:tc>
          <w:tcPr>
            <w:tcW w:w="144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rPr>
              <w:t>超高速微弱电流信号提取与转换电路设计技术研究</w:t>
            </w: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kern w:val="2"/>
                <w:sz w:val="24"/>
                <w:szCs w:val="24"/>
                <w:lang w:val="en-US" w:eastAsia="zh-CN" w:bidi="ar-SA"/>
              </w:rPr>
            </w:pPr>
            <w:r>
              <w:rPr>
                <w:rFonts w:hint="eastAsia" w:ascii="仿宋" w:hAnsi="仿宋" w:cs="仿宋"/>
                <w:sz w:val="24"/>
                <w:szCs w:val="24"/>
              </w:rPr>
              <w:t>1</w:t>
            </w:r>
          </w:p>
        </w:tc>
        <w:tc>
          <w:tcPr>
            <w:tcW w:w="7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rPr>
              <w:t>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4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lang w:eastAsia="zh-CN"/>
              </w:rPr>
              <w:t>兵器工业集团</w:t>
            </w:r>
            <w:r>
              <w:rPr>
                <w:rFonts w:hint="eastAsia" w:ascii="仿宋" w:hAnsi="仿宋" w:cs="仿宋"/>
                <w:sz w:val="24"/>
                <w:szCs w:val="24"/>
              </w:rPr>
              <w:t>北方夜视科技研究院集团有限公司</w:t>
            </w:r>
          </w:p>
        </w:tc>
        <w:tc>
          <w:tcPr>
            <w:tcW w:w="14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lang w:eastAsia="zh-CN"/>
              </w:rPr>
              <w:t>集成电路</w:t>
            </w:r>
            <w:r>
              <w:rPr>
                <w:rFonts w:hint="eastAsia" w:ascii="仿宋" w:hAnsi="仿宋" w:cs="仿宋"/>
                <w:sz w:val="24"/>
                <w:szCs w:val="24"/>
              </w:rPr>
              <w:t>学院</w:t>
            </w:r>
          </w:p>
        </w:tc>
        <w:tc>
          <w:tcPr>
            <w:tcW w:w="130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rPr>
              <w:t>集成电路科学与工程</w:t>
            </w:r>
          </w:p>
        </w:tc>
        <w:tc>
          <w:tcPr>
            <w:tcW w:w="9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cs="仿宋"/>
                <w:sz w:val="24"/>
                <w:szCs w:val="24"/>
              </w:rPr>
            </w:pPr>
            <w:r>
              <w:rPr>
                <w:rFonts w:hint="eastAsia" w:ascii="仿宋" w:hAnsi="仿宋" w:cs="仿宋"/>
                <w:sz w:val="24"/>
                <w:szCs w:val="24"/>
              </w:rPr>
              <w:t>硕士</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rPr>
              <w:t>研究生</w:t>
            </w:r>
          </w:p>
        </w:tc>
        <w:tc>
          <w:tcPr>
            <w:tcW w:w="144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rPr>
              <w:t>超高速微弱电流信号提取与转换电路设计技术研究</w:t>
            </w:r>
          </w:p>
        </w:tc>
        <w:tc>
          <w:tcPr>
            <w:tcW w:w="149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kern w:val="2"/>
                <w:sz w:val="24"/>
                <w:szCs w:val="24"/>
                <w:lang w:val="en-US" w:eastAsia="zh-CN" w:bidi="ar-SA"/>
              </w:rPr>
            </w:pPr>
            <w:r>
              <w:rPr>
                <w:rFonts w:ascii="仿宋" w:hAnsi="仿宋" w:cs="仿宋"/>
                <w:sz w:val="24"/>
                <w:szCs w:val="24"/>
              </w:rPr>
              <w:t>2</w:t>
            </w:r>
          </w:p>
        </w:tc>
        <w:tc>
          <w:tcPr>
            <w:tcW w:w="7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4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lang w:eastAsia="zh-CN"/>
              </w:rPr>
              <w:t>兵器工业集团</w:t>
            </w:r>
            <w:r>
              <w:rPr>
                <w:rFonts w:hint="eastAsia" w:ascii="仿宋" w:hAnsi="仿宋" w:cs="仿宋"/>
                <w:sz w:val="24"/>
                <w:szCs w:val="24"/>
              </w:rPr>
              <w:t>北方夜视科技研究院集团有限公司</w:t>
            </w:r>
          </w:p>
        </w:tc>
        <w:tc>
          <w:tcPr>
            <w:tcW w:w="14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lang w:eastAsia="zh-CN"/>
              </w:rPr>
              <w:t>集成电路</w:t>
            </w:r>
            <w:r>
              <w:rPr>
                <w:rFonts w:hint="eastAsia" w:ascii="仿宋" w:hAnsi="仿宋" w:cs="仿宋"/>
                <w:sz w:val="24"/>
                <w:szCs w:val="24"/>
              </w:rPr>
              <w:t>学院</w:t>
            </w:r>
          </w:p>
        </w:tc>
        <w:tc>
          <w:tcPr>
            <w:tcW w:w="130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rPr>
              <w:t>集成电路科学与工程</w:t>
            </w:r>
          </w:p>
        </w:tc>
        <w:tc>
          <w:tcPr>
            <w:tcW w:w="9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cs="仿宋"/>
                <w:sz w:val="24"/>
                <w:szCs w:val="24"/>
              </w:rPr>
            </w:pPr>
            <w:r>
              <w:rPr>
                <w:rFonts w:hint="eastAsia" w:ascii="仿宋" w:hAnsi="仿宋" w:cs="仿宋"/>
                <w:sz w:val="24"/>
                <w:szCs w:val="24"/>
              </w:rPr>
              <w:t>博士</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rPr>
              <w:t>研究生</w:t>
            </w:r>
          </w:p>
        </w:tc>
        <w:tc>
          <w:tcPr>
            <w:tcW w:w="144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rPr>
              <w:t>超高速微弱电流信号提取与转换电路设计技术研究</w:t>
            </w:r>
          </w:p>
        </w:tc>
        <w:tc>
          <w:tcPr>
            <w:tcW w:w="149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kern w:val="2"/>
                <w:sz w:val="24"/>
                <w:szCs w:val="24"/>
                <w:lang w:val="en-US" w:eastAsia="zh-CN" w:bidi="ar-SA"/>
              </w:rPr>
            </w:pPr>
            <w:r>
              <w:rPr>
                <w:rFonts w:ascii="仿宋" w:hAnsi="仿宋" w:cs="仿宋"/>
                <w:sz w:val="24"/>
                <w:szCs w:val="24"/>
              </w:rPr>
              <w:t>1</w:t>
            </w:r>
          </w:p>
        </w:tc>
        <w:tc>
          <w:tcPr>
            <w:tcW w:w="7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cs="仿宋"/>
                <w:sz w:val="24"/>
                <w:szCs w:val="24"/>
              </w:rPr>
            </w:pPr>
            <w:r>
              <w:rPr>
                <w:rFonts w:hint="eastAsia" w:ascii="仿宋" w:hAnsi="仿宋" w:cs="仿宋"/>
                <w:sz w:val="24"/>
                <w:szCs w:val="24"/>
              </w:rPr>
              <w:t>昆明</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kern w:val="2"/>
                <w:sz w:val="24"/>
                <w:szCs w:val="24"/>
                <w:lang w:val="en-US" w:eastAsia="zh-CN" w:bidi="ar-SA"/>
              </w:rPr>
            </w:pPr>
          </w:p>
        </w:tc>
      </w:tr>
    </w:tbl>
    <w:p>
      <w:pPr>
        <w:pStyle w:val="2"/>
        <w:ind w:left="-243" w:firstLineChars="0"/>
      </w:pPr>
      <w:r>
        <w:rPr>
          <w:rFonts w:hint="eastAsia"/>
        </w:rPr>
        <w:t>联系方式</w:t>
      </w:r>
    </w:p>
    <w:p>
      <w:pPr>
        <w:pStyle w:val="3"/>
        <w:pageBreakBefore w:val="0"/>
        <w:kinsoku/>
        <w:wordWrap/>
        <w:overflowPunct/>
        <w:topLinePunct w:val="0"/>
        <w:autoSpaceDE/>
        <w:autoSpaceDN/>
        <w:bidi w:val="0"/>
        <w:snapToGrid w:val="0"/>
        <w:spacing w:line="560" w:lineRule="exact"/>
        <w:ind w:firstLine="643"/>
        <w:textAlignment w:val="auto"/>
        <w:rPr>
          <w:rFonts w:hint="eastAsia"/>
        </w:rPr>
      </w:pPr>
      <w:r>
        <w:rPr>
          <w:rFonts w:hint="eastAsia"/>
          <w:lang w:eastAsia="zh-CN"/>
        </w:rPr>
        <w:t>（一）</w:t>
      </w:r>
      <w:r>
        <w:rPr>
          <w:rFonts w:hint="eastAsia"/>
        </w:rPr>
        <w:t>北方激光研究院有限公司</w:t>
      </w:r>
    </w:p>
    <w:p>
      <w:pPr>
        <w:spacing w:line="560" w:lineRule="exact"/>
        <w:ind w:firstLine="1280" w:firstLineChars="400"/>
      </w:pPr>
      <w:r>
        <w:rPr>
          <w:rFonts w:hint="eastAsia"/>
        </w:rPr>
        <w:t>联系人： 王虹力</w:t>
      </w:r>
    </w:p>
    <w:p>
      <w:pPr>
        <w:spacing w:line="560" w:lineRule="exact"/>
        <w:ind w:firstLine="640"/>
      </w:pPr>
      <w:r>
        <w:rPr>
          <w:rFonts w:hint="eastAsia"/>
        </w:rPr>
        <w:t xml:space="preserve">    联系电话：028-68011209       </w:t>
      </w:r>
    </w:p>
    <w:p>
      <w:pPr>
        <w:spacing w:line="560" w:lineRule="exact"/>
        <w:ind w:firstLine="640"/>
        <w:rPr>
          <w:rFonts w:hint="eastAsia"/>
        </w:rPr>
      </w:pPr>
      <w:r>
        <w:rPr>
          <w:rFonts w:hint="eastAsia"/>
        </w:rPr>
        <w:t xml:space="preserve">    简历投递邮箱：</w:t>
      </w:r>
      <w:r>
        <w:rPr>
          <w:rFonts w:hint="eastAsia"/>
        </w:rPr>
        <w:fldChar w:fldCharType="begin"/>
      </w:r>
      <w:r>
        <w:rPr>
          <w:rFonts w:hint="eastAsia"/>
        </w:rPr>
        <w:instrText xml:space="preserve"> HYPERLINK "mailto:cngc_master@163.com" </w:instrText>
      </w:r>
      <w:r>
        <w:rPr>
          <w:rFonts w:hint="eastAsia"/>
        </w:rPr>
        <w:fldChar w:fldCharType="separate"/>
      </w:r>
      <w:r>
        <w:rPr>
          <w:rStyle w:val="11"/>
          <w:rFonts w:hint="eastAsia"/>
        </w:rPr>
        <w:t>cngc_master@163.com</w:t>
      </w:r>
      <w:r>
        <w:rPr>
          <w:rFonts w:hint="eastAsia"/>
        </w:rPr>
        <w:fldChar w:fldCharType="end"/>
      </w:r>
    </w:p>
    <w:p>
      <w:pPr>
        <w:pStyle w:val="3"/>
        <w:pageBreakBefore w:val="0"/>
        <w:kinsoku/>
        <w:wordWrap/>
        <w:overflowPunct/>
        <w:topLinePunct w:val="0"/>
        <w:autoSpaceDE/>
        <w:autoSpaceDN/>
        <w:bidi w:val="0"/>
        <w:snapToGrid w:val="0"/>
        <w:spacing w:line="560" w:lineRule="exact"/>
        <w:ind w:firstLine="643"/>
        <w:textAlignment w:val="auto"/>
        <w:rPr>
          <w:rFonts w:hint="eastAsia"/>
        </w:rPr>
      </w:pPr>
      <w:r>
        <w:rPr>
          <w:rFonts w:hint="eastAsia"/>
        </w:rPr>
        <w:t>（</w:t>
      </w:r>
      <w:r>
        <w:rPr>
          <w:rFonts w:hint="eastAsia"/>
          <w:lang w:eastAsia="zh-CN"/>
        </w:rPr>
        <w:t>二</w:t>
      </w:r>
      <w:r>
        <w:rPr>
          <w:rFonts w:hint="eastAsia"/>
        </w:rPr>
        <w:t>）北方夜视科技研究院集团有限公司</w:t>
      </w:r>
    </w:p>
    <w:p>
      <w:pPr>
        <w:spacing w:line="560" w:lineRule="exact"/>
        <w:ind w:firstLine="1280" w:firstLineChars="400"/>
      </w:pPr>
      <w:r>
        <w:rPr>
          <w:rFonts w:hint="eastAsia"/>
        </w:rPr>
        <w:t>联系人： 李萍</w:t>
      </w:r>
    </w:p>
    <w:p>
      <w:pPr>
        <w:spacing w:line="560" w:lineRule="exact"/>
        <w:ind w:firstLine="640"/>
      </w:pPr>
      <w:r>
        <w:rPr>
          <w:rFonts w:hint="eastAsia"/>
        </w:rPr>
        <w:t xml:space="preserve">    联系电话：0</w:t>
      </w:r>
      <w:r>
        <w:t>873-65105242</w:t>
      </w:r>
      <w:r>
        <w:rPr>
          <w:rFonts w:hint="eastAsia"/>
        </w:rPr>
        <w:t xml:space="preserve">       </w:t>
      </w:r>
    </w:p>
    <w:p>
      <w:pPr>
        <w:spacing w:line="560" w:lineRule="exact"/>
        <w:ind w:firstLine="640"/>
      </w:pPr>
      <w:r>
        <w:rPr>
          <w:rFonts w:hint="eastAsia"/>
        </w:rPr>
        <w:t xml:space="preserve">    简历投递邮箱： km</w:t>
      </w:r>
      <w:r>
        <w:t>616161@16</w:t>
      </w:r>
      <w:r>
        <w:rPr>
          <w:rFonts w:hint="eastAsia"/>
        </w:rPr>
        <w:t>3</w:t>
      </w:r>
      <w:r>
        <w:t>.</w:t>
      </w:r>
      <w:r>
        <w:rPr>
          <w:rFonts w:hint="eastAsia"/>
        </w:rPr>
        <w:t>com</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78EA3B3F-2B03-4B16-89A2-528ABDFCA3A3}"/>
  </w:font>
  <w:font w:name="仿宋">
    <w:panose1 w:val="02010609060101010101"/>
    <w:charset w:val="86"/>
    <w:family w:val="modern"/>
    <w:pitch w:val="default"/>
    <w:sig w:usb0="800002BF" w:usb1="38CF7CFA" w:usb2="00000016" w:usb3="00000000" w:csb0="00040001" w:csb1="00000000"/>
    <w:embedRegular r:id="rId2" w:fontKey="{682B0D0E-5B54-4622-95A7-EF32F5564519}"/>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embedRegular r:id="rId3" w:fontKey="{2E7836B9-4B6D-44C0-8335-375E37559A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EA27C"/>
    <w:multiLevelType w:val="singleLevel"/>
    <w:tmpl w:val="C0AEA27C"/>
    <w:lvl w:ilvl="0" w:tentative="0">
      <w:start w:val="1"/>
      <w:numFmt w:val="chineseCounting"/>
      <w:pStyle w:val="2"/>
      <w:suff w:val="nothing"/>
      <w:lvlText w:val="%1、"/>
      <w:lvlJc w:val="left"/>
      <w:pPr>
        <w:ind w:left="-243" w:firstLine="420"/>
      </w:pPr>
      <w:rPr>
        <w:rFonts w:hint="eastAsia"/>
      </w:rPr>
    </w:lvl>
  </w:abstractNum>
  <w:abstractNum w:abstractNumId="1">
    <w:nsid w:val="2D09F5D6"/>
    <w:multiLevelType w:val="singleLevel"/>
    <w:tmpl w:val="2D09F5D6"/>
    <w:lvl w:ilvl="0" w:tentative="0">
      <w:start w:val="1"/>
      <w:numFmt w:val="decimal"/>
      <w:pStyle w:val="4"/>
      <w:suff w:val="nothing"/>
      <w:lvlText w:val="%1．"/>
      <w:lvlJc w:val="left"/>
      <w:pPr>
        <w:tabs>
          <w:tab w:val="left" w:pos="0"/>
        </w:tabs>
        <w:ind w:left="0" w:firstLine="400"/>
      </w:pPr>
      <w:rPr>
        <w:rFonts w:hint="default"/>
      </w:rPr>
    </w:lvl>
  </w:abstractNum>
  <w:abstractNum w:abstractNumId="2">
    <w:nsid w:val="52DB6D75"/>
    <w:multiLevelType w:val="singleLevel"/>
    <w:tmpl w:val="52DB6D75"/>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OGEzY2VkNGViYzY3YTlkOTA5OTZjNzk0ODJlMGEifQ=="/>
  </w:docVars>
  <w:rsids>
    <w:rsidRoot w:val="009D3C2A"/>
    <w:rsid w:val="00037B0D"/>
    <w:rsid w:val="00113766"/>
    <w:rsid w:val="00150BBB"/>
    <w:rsid w:val="001657C7"/>
    <w:rsid w:val="0025501B"/>
    <w:rsid w:val="002A36A3"/>
    <w:rsid w:val="00301484"/>
    <w:rsid w:val="00414B78"/>
    <w:rsid w:val="0054603D"/>
    <w:rsid w:val="005D1E51"/>
    <w:rsid w:val="00603E59"/>
    <w:rsid w:val="00764A20"/>
    <w:rsid w:val="009D3C2A"/>
    <w:rsid w:val="009E5204"/>
    <w:rsid w:val="00C501B0"/>
    <w:rsid w:val="00DC773A"/>
    <w:rsid w:val="00DD3234"/>
    <w:rsid w:val="00DF1A93"/>
    <w:rsid w:val="00E62B9E"/>
    <w:rsid w:val="03D663B8"/>
    <w:rsid w:val="04B13D78"/>
    <w:rsid w:val="050C5725"/>
    <w:rsid w:val="05970887"/>
    <w:rsid w:val="05BA4CF4"/>
    <w:rsid w:val="074D7C4B"/>
    <w:rsid w:val="08C36849"/>
    <w:rsid w:val="08C72AFF"/>
    <w:rsid w:val="09280CA6"/>
    <w:rsid w:val="09961A2C"/>
    <w:rsid w:val="0BE44E49"/>
    <w:rsid w:val="0DB13E38"/>
    <w:rsid w:val="0DD84DFE"/>
    <w:rsid w:val="10174BFE"/>
    <w:rsid w:val="11116DA8"/>
    <w:rsid w:val="11F67C46"/>
    <w:rsid w:val="12EA7EAB"/>
    <w:rsid w:val="137B2A07"/>
    <w:rsid w:val="13C273DC"/>
    <w:rsid w:val="14D638F3"/>
    <w:rsid w:val="14E820BF"/>
    <w:rsid w:val="16401DBF"/>
    <w:rsid w:val="17172963"/>
    <w:rsid w:val="174540F9"/>
    <w:rsid w:val="17F96392"/>
    <w:rsid w:val="19BC5060"/>
    <w:rsid w:val="19D8629C"/>
    <w:rsid w:val="1A4C2214"/>
    <w:rsid w:val="1A975BD1"/>
    <w:rsid w:val="1AA14AD9"/>
    <w:rsid w:val="1F4E7A7C"/>
    <w:rsid w:val="20987D5B"/>
    <w:rsid w:val="2121390E"/>
    <w:rsid w:val="215C7D74"/>
    <w:rsid w:val="254E75C1"/>
    <w:rsid w:val="25F1376E"/>
    <w:rsid w:val="26377CEF"/>
    <w:rsid w:val="26EF718E"/>
    <w:rsid w:val="281C7E40"/>
    <w:rsid w:val="281F026C"/>
    <w:rsid w:val="296238BB"/>
    <w:rsid w:val="2BEF2B83"/>
    <w:rsid w:val="2C3807B0"/>
    <w:rsid w:val="2DF93B41"/>
    <w:rsid w:val="2ED04B1D"/>
    <w:rsid w:val="2FF91DA4"/>
    <w:rsid w:val="303040BA"/>
    <w:rsid w:val="326F1587"/>
    <w:rsid w:val="33C11422"/>
    <w:rsid w:val="3731263D"/>
    <w:rsid w:val="38F04733"/>
    <w:rsid w:val="39910B14"/>
    <w:rsid w:val="39CA7570"/>
    <w:rsid w:val="3AE907CC"/>
    <w:rsid w:val="3B38402B"/>
    <w:rsid w:val="3B653935"/>
    <w:rsid w:val="3B8418E9"/>
    <w:rsid w:val="3BC85574"/>
    <w:rsid w:val="3F4F418F"/>
    <w:rsid w:val="430E742D"/>
    <w:rsid w:val="432A2442"/>
    <w:rsid w:val="43577C99"/>
    <w:rsid w:val="445D4877"/>
    <w:rsid w:val="44D11A03"/>
    <w:rsid w:val="44E348E6"/>
    <w:rsid w:val="45C967C3"/>
    <w:rsid w:val="45DE3793"/>
    <w:rsid w:val="47765E02"/>
    <w:rsid w:val="479348D2"/>
    <w:rsid w:val="47AD2217"/>
    <w:rsid w:val="4A5D4766"/>
    <w:rsid w:val="4A9D5F30"/>
    <w:rsid w:val="4BD30A83"/>
    <w:rsid w:val="4D3B3A83"/>
    <w:rsid w:val="4E196F30"/>
    <w:rsid w:val="4EBD1F06"/>
    <w:rsid w:val="4EE275E2"/>
    <w:rsid w:val="526E0827"/>
    <w:rsid w:val="53C95539"/>
    <w:rsid w:val="544A6DFC"/>
    <w:rsid w:val="54674192"/>
    <w:rsid w:val="54C221EC"/>
    <w:rsid w:val="55100338"/>
    <w:rsid w:val="556B2D65"/>
    <w:rsid w:val="55BB1F86"/>
    <w:rsid w:val="568E4AF7"/>
    <w:rsid w:val="5D5C36E6"/>
    <w:rsid w:val="5D692E32"/>
    <w:rsid w:val="5DF17863"/>
    <w:rsid w:val="60641E22"/>
    <w:rsid w:val="60DF79D4"/>
    <w:rsid w:val="613965F8"/>
    <w:rsid w:val="62955AA3"/>
    <w:rsid w:val="66127B82"/>
    <w:rsid w:val="67F87BB6"/>
    <w:rsid w:val="68CE6393"/>
    <w:rsid w:val="68D740D6"/>
    <w:rsid w:val="6BD32787"/>
    <w:rsid w:val="6DBB3A48"/>
    <w:rsid w:val="6E5A2BA7"/>
    <w:rsid w:val="6FD92195"/>
    <w:rsid w:val="70507361"/>
    <w:rsid w:val="71886309"/>
    <w:rsid w:val="71DC5879"/>
    <w:rsid w:val="724B1B66"/>
    <w:rsid w:val="728A21EF"/>
    <w:rsid w:val="72AD06F4"/>
    <w:rsid w:val="733F005F"/>
    <w:rsid w:val="75571D24"/>
    <w:rsid w:val="785D6C98"/>
    <w:rsid w:val="79246B28"/>
    <w:rsid w:val="7A566AD5"/>
    <w:rsid w:val="7A936C5A"/>
    <w:rsid w:val="7AEE2C91"/>
    <w:rsid w:val="7C3A666C"/>
    <w:rsid w:val="7F1E2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atLeast"/>
      <w:ind w:firstLine="883" w:firstLineChars="200"/>
      <w:jc w:val="both"/>
    </w:pPr>
    <w:rPr>
      <w:rFonts w:ascii="Calibri" w:hAnsi="Calibri" w:eastAsia="仿宋" w:cs="Times New Roman"/>
      <w:kern w:val="2"/>
      <w:sz w:val="32"/>
      <w:szCs w:val="22"/>
      <w:lang w:val="en-US" w:eastAsia="zh-CN" w:bidi="ar-SA"/>
    </w:rPr>
  </w:style>
  <w:style w:type="paragraph" w:styleId="2">
    <w:name w:val="heading 1"/>
    <w:basedOn w:val="1"/>
    <w:next w:val="1"/>
    <w:link w:val="14"/>
    <w:qFormat/>
    <w:uiPriority w:val="0"/>
    <w:pPr>
      <w:keepNext/>
      <w:keepLines/>
      <w:numPr>
        <w:ilvl w:val="0"/>
        <w:numId w:val="1"/>
      </w:numPr>
      <w:spacing w:line="560" w:lineRule="exact"/>
      <w:ind w:left="0" w:firstLine="883"/>
      <w:jc w:val="left"/>
      <w:outlineLvl w:val="0"/>
    </w:pPr>
    <w:rPr>
      <w:rFonts w:eastAsia="黑体"/>
      <w:b/>
      <w:kern w:val="44"/>
    </w:rPr>
  </w:style>
  <w:style w:type="paragraph" w:styleId="3">
    <w:name w:val="heading 2"/>
    <w:basedOn w:val="1"/>
    <w:next w:val="1"/>
    <w:unhideWhenUsed/>
    <w:qFormat/>
    <w:uiPriority w:val="9"/>
    <w:pPr>
      <w:keepNext/>
      <w:keepLines/>
      <w:spacing w:line="560" w:lineRule="exact"/>
      <w:jc w:val="left"/>
      <w:outlineLvl w:val="1"/>
    </w:pPr>
    <w:rPr>
      <w:rFonts w:ascii="Arial" w:hAnsi="Arial" w:eastAsia="楷体"/>
      <w:b/>
    </w:rPr>
  </w:style>
  <w:style w:type="paragraph" w:styleId="4">
    <w:name w:val="heading 3"/>
    <w:basedOn w:val="1"/>
    <w:next w:val="1"/>
    <w:link w:val="13"/>
    <w:semiHidden/>
    <w:unhideWhenUsed/>
    <w:qFormat/>
    <w:uiPriority w:val="0"/>
    <w:pPr>
      <w:keepNext/>
      <w:keepLines/>
      <w:numPr>
        <w:ilvl w:val="0"/>
        <w:numId w:val="2"/>
      </w:numPr>
      <w:spacing w:line="560" w:lineRule="exact"/>
      <w:ind w:firstLine="883"/>
      <w:outlineLvl w:val="2"/>
    </w:pPr>
    <w:rPr>
      <w:b/>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qFormat/>
    <w:uiPriority w:val="0"/>
    <w:pPr>
      <w:tabs>
        <w:tab w:val="center" w:pos="4153"/>
        <w:tab w:val="right" w:pos="8306"/>
      </w:tabs>
      <w:spacing w:line="240" w:lineRule="atLeast"/>
      <w:jc w:val="left"/>
    </w:pPr>
    <w:rPr>
      <w:sz w:val="18"/>
      <w:szCs w:val="18"/>
    </w:rPr>
  </w:style>
  <w:style w:type="paragraph" w:styleId="6">
    <w:name w:val="header"/>
    <w:basedOn w:val="1"/>
    <w:link w:val="15"/>
    <w:qFormat/>
    <w:uiPriority w:val="0"/>
    <w:pPr>
      <w:tabs>
        <w:tab w:val="center" w:pos="4153"/>
        <w:tab w:val="right" w:pos="8306"/>
      </w:tabs>
      <w:spacing w:line="240" w:lineRule="atLeast"/>
      <w:jc w:val="center"/>
    </w:pPr>
    <w:rPr>
      <w:sz w:val="18"/>
      <w:szCs w:val="18"/>
    </w:rPr>
  </w:style>
  <w:style w:type="paragraph" w:styleId="7">
    <w:name w:val="Normal (Web)"/>
    <w:basedOn w:val="1"/>
    <w:qFormat/>
    <w:uiPriority w:val="99"/>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附件标题"/>
    <w:basedOn w:val="1"/>
    <w:qFormat/>
    <w:uiPriority w:val="0"/>
    <w:pPr>
      <w:spacing w:line="560" w:lineRule="exact"/>
      <w:ind w:firstLine="0" w:firstLineChars="0"/>
      <w:jc w:val="left"/>
    </w:pPr>
    <w:rPr>
      <w:rFonts w:hint="eastAsia" w:ascii="黑体" w:hAnsi="黑体" w:eastAsia="黑体" w:cs="黑体"/>
      <w:b/>
      <w:bCs/>
      <w:szCs w:val="40"/>
    </w:rPr>
  </w:style>
  <w:style w:type="character" w:customStyle="1" w:styleId="13">
    <w:name w:val="标题 3 字符"/>
    <w:link w:val="4"/>
    <w:qFormat/>
    <w:uiPriority w:val="0"/>
    <w:rPr>
      <w:rFonts w:ascii="Calibri" w:hAnsi="Calibri" w:eastAsia="仿宋" w:cs="Times New Roman"/>
      <w:b/>
      <w:sz w:val="32"/>
      <w:szCs w:val="22"/>
    </w:rPr>
  </w:style>
  <w:style w:type="character" w:customStyle="1" w:styleId="14">
    <w:name w:val="标题 1 字符"/>
    <w:link w:val="2"/>
    <w:qFormat/>
    <w:uiPriority w:val="0"/>
    <w:rPr>
      <w:rFonts w:ascii="Calibri" w:hAnsi="Calibri" w:eastAsia="黑体" w:cs="Times New Roman"/>
      <w:b/>
      <w:kern w:val="44"/>
      <w:sz w:val="32"/>
      <w:szCs w:val="22"/>
    </w:rPr>
  </w:style>
  <w:style w:type="character" w:customStyle="1" w:styleId="15">
    <w:name w:val="页眉 字符"/>
    <w:basedOn w:val="10"/>
    <w:link w:val="6"/>
    <w:qFormat/>
    <w:uiPriority w:val="0"/>
    <w:rPr>
      <w:rFonts w:ascii="Calibri" w:hAnsi="Calibri" w:eastAsia="仿宋" w:cs="Times New Roman"/>
      <w:kern w:val="2"/>
      <w:sz w:val="18"/>
      <w:szCs w:val="18"/>
    </w:rPr>
  </w:style>
  <w:style w:type="character" w:customStyle="1" w:styleId="16">
    <w:name w:val="页脚 字符"/>
    <w:basedOn w:val="10"/>
    <w:link w:val="5"/>
    <w:qFormat/>
    <w:uiPriority w:val="0"/>
    <w:rPr>
      <w:rFonts w:ascii="Calibri" w:hAnsi="Calibri" w:eastAsia="仿宋"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279</Words>
  <Characters>1591</Characters>
  <Lines>13</Lines>
  <Paragraphs>3</Paragraphs>
  <TotalTime>0</TotalTime>
  <ScaleCrop>false</ScaleCrop>
  <LinksUpToDate>false</LinksUpToDate>
  <CharactersWithSpaces>1867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2023-12-03T04:02:00Z</dcterms:created>
  <dc:creator>Administrator</dc:creator>
  <cp:lastModifiedBy>Administrator</cp:lastModifiedBy>
  <dcterms:modified xsi:type="dcterms:W3CDTF">2024-06-18T03:04:29Z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E0D05D4548254C9EA5B7DB7825639B5D</vt:lpwstr>
  </property>
</Properties>
</file>