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w:drawing>
          <wp:inline distT="0" distB="0" distL="0" distR="0">
            <wp:extent cx="1390650" cy="4572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pPr>
        <w:spacing w:line="360" w:lineRule="auto"/>
        <w:jc w:val="center"/>
        <w:rPr>
          <w:rFonts w:ascii="黑体" w:hAnsi="黑体" w:eastAsia="黑体"/>
          <w:sz w:val="36"/>
          <w:szCs w:val="36"/>
        </w:rPr>
      </w:pPr>
      <w:r>
        <w:rPr>
          <w:rFonts w:ascii="黑体" w:hAnsi="黑体" w:eastAsia="黑体"/>
          <w:sz w:val="36"/>
          <w:szCs w:val="36"/>
        </w:rPr>
        <w:t>导师招生资格年审</w:t>
      </w:r>
    </w:p>
    <w:p>
      <w:pPr>
        <w:spacing w:line="360" w:lineRule="auto"/>
        <w:jc w:val="center"/>
        <w:rPr>
          <w:rFonts w:ascii="黑体" w:hAnsi="黑体" w:eastAsia="黑体"/>
          <w:sz w:val="36"/>
          <w:szCs w:val="36"/>
        </w:rPr>
      </w:pPr>
      <w:r>
        <w:rPr>
          <w:rFonts w:hint="eastAsia" w:ascii="黑体" w:hAnsi="黑体" w:eastAsia="黑体"/>
          <w:sz w:val="36"/>
          <w:szCs w:val="36"/>
        </w:rPr>
        <w:t>操作手册</w:t>
      </w:r>
    </w:p>
    <w:p>
      <w:pPr>
        <w:pStyle w:val="10"/>
      </w:pPr>
    </w:p>
    <w:p/>
    <w:tbl>
      <w:tblPr>
        <w:tblStyle w:val="11"/>
        <w:tblW w:w="470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44"/>
        <w:gridCol w:w="16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44" w:type="dxa"/>
            <w:shd w:val="clear" w:color="auto" w:fill="auto"/>
            <w:vAlign w:val="center"/>
          </w:tcPr>
          <w:p>
            <w:pPr>
              <w:jc w:val="center"/>
              <w:rPr>
                <w:rFonts w:ascii="黑体" w:hAnsi="黑体" w:eastAsia="黑体"/>
                <w:szCs w:val="32"/>
              </w:rPr>
            </w:pPr>
            <w:r>
              <w:rPr>
                <w:rFonts w:hint="eastAsia" w:ascii="黑体" w:hAnsi="黑体" w:eastAsia="黑体"/>
                <w:szCs w:val="32"/>
              </w:rPr>
              <w:t>网络与信息中心</w:t>
            </w:r>
          </w:p>
        </w:tc>
        <w:tc>
          <w:tcPr>
            <w:tcW w:w="1659" w:type="dxa"/>
            <w:vMerge w:val="restart"/>
            <w:shd w:val="clear" w:color="auto" w:fill="auto"/>
            <w:vAlign w:val="center"/>
          </w:tcPr>
          <w:p>
            <w:pPr>
              <w:rPr>
                <w:rFonts w:ascii="黑体" w:hAnsi="黑体" w:eastAsia="黑体"/>
                <w:szCs w:val="32"/>
              </w:rPr>
            </w:pPr>
            <w:r>
              <w:rPr>
                <w:rFonts w:hint="eastAsia" w:ascii="黑体" w:hAnsi="黑体" w:eastAsia="黑体"/>
                <w:szCs w:val="32"/>
              </w:rPr>
              <w:t>联</w:t>
            </w:r>
            <w:r>
              <w:rPr>
                <w:rFonts w:ascii="黑体" w:hAnsi="黑体" w:eastAsia="黑体"/>
                <w:szCs w:val="32"/>
              </w:rPr>
              <w:t>合</w:t>
            </w:r>
            <w:r>
              <w:rPr>
                <w:rFonts w:hint="eastAsia" w:ascii="黑体" w:hAnsi="黑体" w:eastAsia="黑体"/>
                <w:szCs w:val="32"/>
              </w:rPr>
              <w:t>制作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44" w:type="dxa"/>
            <w:shd w:val="clear" w:color="auto" w:fill="auto"/>
            <w:vAlign w:val="center"/>
          </w:tcPr>
          <w:p>
            <w:pPr>
              <w:jc w:val="center"/>
              <w:rPr>
                <w:rFonts w:ascii="黑体" w:hAnsi="黑体" w:eastAsia="黑体"/>
                <w:szCs w:val="32"/>
              </w:rPr>
            </w:pPr>
            <w:r>
              <w:rPr>
                <w:rFonts w:hint="eastAsia" w:ascii="黑体" w:hAnsi="黑体" w:eastAsia="黑体"/>
                <w:szCs w:val="32"/>
              </w:rPr>
              <w:t>研究生院</w:t>
            </w:r>
          </w:p>
        </w:tc>
        <w:tc>
          <w:tcPr>
            <w:tcW w:w="1659" w:type="dxa"/>
            <w:vMerge w:val="continue"/>
            <w:shd w:val="clear" w:color="auto" w:fill="auto"/>
            <w:vAlign w:val="center"/>
          </w:tcPr>
          <w:p>
            <w:pPr>
              <w:rPr>
                <w:rFonts w:ascii="黑体" w:hAnsi="黑体" w:eastAsia="黑体"/>
                <w:szCs w:val="32"/>
              </w:rPr>
            </w:pPr>
          </w:p>
        </w:tc>
      </w:tr>
    </w:tbl>
    <w:p/>
    <w:p/>
    <w:p/>
    <w:p/>
    <w:p/>
    <w:p>
      <w:pPr>
        <w:jc w:val="right"/>
        <w:rPr>
          <w:szCs w:val="21"/>
        </w:rPr>
      </w:pPr>
    </w:p>
    <w:p>
      <w:pPr>
        <w:pStyle w:val="2"/>
        <w:rPr>
          <w:rFonts w:hint="eastAsia"/>
        </w:rPr>
      </w:pPr>
      <w:r>
        <w:rPr>
          <w:rFonts w:hint="eastAsia"/>
        </w:rPr>
        <w:t>登录系统入口</w:t>
      </w:r>
    </w:p>
    <w:p>
      <w:pPr>
        <w:pStyle w:val="20"/>
        <w:ind w:firstLine="0" w:firstLineChars="0"/>
        <w:rPr>
          <w:rFonts w:hint="eastAsia"/>
        </w:rPr>
      </w:pPr>
      <w:r>
        <w:rPr>
          <w:rFonts w:hint="eastAsia"/>
        </w:rPr>
        <w:t>方法1：进入东南大学研究生官网，选择“教师”角色进入，点击“导师招生资格申请”按钮，通过一卡通及密码进入进行申请。</w:t>
      </w:r>
    </w:p>
    <w:p>
      <w:pPr>
        <w:pStyle w:val="20"/>
        <w:ind w:firstLine="0" w:firstLineChars="0"/>
        <w:rPr>
          <w:rFonts w:hint="eastAsia"/>
        </w:rPr>
      </w:pPr>
      <w:r>
        <w:drawing>
          <wp:inline distT="0" distB="0" distL="0" distR="0">
            <wp:extent cx="5486400" cy="280352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0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ind w:firstLine="0" w:firstLineChars="0"/>
      </w:pPr>
      <w:r>
        <w:drawing>
          <wp:inline distT="0" distB="0" distL="0" distR="0">
            <wp:extent cx="5486400" cy="251714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1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20"/>
        <w:ind w:firstLineChars="0"/>
        <w:jc w:val="left"/>
      </w:pPr>
      <w:r>
        <w:rPr>
          <w:rFonts w:hint="eastAsia"/>
        </w:rPr>
        <w:t>方法2：登录东南大学校园信息门户-网上办事大厅：</w:t>
      </w:r>
      <w:r>
        <w:fldChar w:fldCharType="begin"/>
      </w:r>
      <w:r>
        <w:instrText xml:space="preserve"> HYPERLINK "http://ehall.seu.edu.cn/" </w:instrText>
      </w:r>
      <w:r>
        <w:fldChar w:fldCharType="separate"/>
      </w:r>
      <w:r>
        <w:rPr>
          <w:rStyle w:val="13"/>
        </w:rPr>
        <w:t>http://ehall.seu.edu.cn/</w:t>
      </w:r>
      <w:r>
        <w:rPr>
          <w:rStyle w:val="13"/>
        </w:rPr>
        <w:fldChar w:fldCharType="end"/>
      </w:r>
      <w:r>
        <w:rPr>
          <w:rFonts w:hint="eastAsia"/>
        </w:rPr>
        <w:t>，系统采用统一身份认证登录系统，用户名/密码为一卡通号/密码，进入后搜索“导师招生资格管理”进行招生申请。忘记密码访问：</w:t>
      </w:r>
    </w:p>
    <w:p>
      <w:pPr>
        <w:pStyle w:val="20"/>
        <w:ind w:firstLine="0" w:firstLineChars="0"/>
      </w:pPr>
      <w:r>
        <w:fldChar w:fldCharType="begin"/>
      </w:r>
      <w:r>
        <w:instrText xml:space="preserve"> HYPERLINK "https://newids.seu.edu.cn/authserver/getBackPasswordMainPage.do" </w:instrText>
      </w:r>
      <w:r>
        <w:fldChar w:fldCharType="separate"/>
      </w:r>
      <w:r>
        <w:rPr>
          <w:rStyle w:val="13"/>
          <w:rFonts w:hint="eastAsia"/>
        </w:rPr>
        <w:t>https://newids.seu.edu.cn/authserver/getBackPasswordMainPage.do</w:t>
      </w:r>
      <w:r>
        <w:rPr>
          <w:rStyle w:val="13"/>
          <w:rFonts w:hint="eastAsia"/>
        </w:rPr>
        <w:fldChar w:fldCharType="end"/>
      </w:r>
      <w:r>
        <w:rPr>
          <w:rFonts w:hint="eastAsia"/>
        </w:rPr>
        <w:t>进行找回密码操作。</w:t>
      </w:r>
    </w:p>
    <w:p>
      <w:pPr>
        <w:pStyle w:val="20"/>
        <w:ind w:firstLine="0" w:firstLineChars="0"/>
        <w:rPr>
          <w:rFonts w:hint="eastAsia"/>
        </w:rPr>
      </w:pPr>
      <w:r>
        <w:drawing>
          <wp:inline distT="0" distB="0" distL="0" distR="0">
            <wp:extent cx="5486400" cy="246062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6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ind w:firstLineChars="0"/>
      </w:pPr>
      <w:r>
        <w:rPr>
          <w:rFonts w:hint="eastAsia"/>
        </w:rPr>
        <w:t>进入应用，直接进入招生资格申请确认环节。</w:t>
      </w:r>
    </w:p>
    <w:p>
      <w:pPr>
        <w:pStyle w:val="20"/>
        <w:ind w:firstLine="0" w:firstLineChars="0"/>
      </w:pPr>
      <w:r>
        <w:drawing>
          <wp:inline distT="0" distB="0" distL="0" distR="0">
            <wp:extent cx="5486400" cy="2456815"/>
            <wp:effectExtent l="0" t="0" r="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5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FF0000"/>
        </w:rPr>
      </w:pPr>
      <w:r>
        <w:rPr>
          <w:rFonts w:hint="eastAsia"/>
          <w:color w:val="FF0000"/>
        </w:rPr>
        <w:t>注：推荐使用360极速浏览器极速模式或谷歌浏览器。如存在界面无法加载或信息展现不及时的情况，请清除浏览器缓存后重新登录。</w:t>
      </w:r>
    </w:p>
    <w:p>
      <w:pPr>
        <w:pStyle w:val="2"/>
      </w:pPr>
      <w:r>
        <w:rPr>
          <w:rFonts w:hint="eastAsia"/>
        </w:rPr>
        <w:t>如何进行招生申请</w:t>
      </w:r>
    </w:p>
    <w:p>
      <w:pPr>
        <w:ind w:left="420"/>
      </w:pPr>
      <w:r>
        <w:rPr>
          <w:rFonts w:hint="eastAsia"/>
        </w:rPr>
        <w:t>1、查看招生细则</w:t>
      </w:r>
    </w:p>
    <w:p>
      <w:pPr>
        <w:widowControl/>
        <w:ind w:left="420"/>
      </w:pPr>
      <w:r>
        <w:rPr>
          <w:rFonts w:hint="eastAsia"/>
        </w:rPr>
        <w:t>进入应用后第一步可以查看院系招生资格细则，点击预览/下载附件。查看完成后点击下一步。</w:t>
      </w:r>
    </w:p>
    <w:p>
      <w:pPr>
        <w:widowControl/>
        <w:ind w:left="420"/>
      </w:pPr>
      <w:r>
        <w:drawing>
          <wp:inline distT="0" distB="0" distL="0" distR="0">
            <wp:extent cx="5486400" cy="2374900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left="420"/>
      </w:pPr>
      <w:r>
        <w:rPr>
          <w:rFonts w:hint="eastAsia"/>
        </w:rPr>
        <w:t>2、核对数据</w:t>
      </w:r>
    </w:p>
    <w:p>
      <w:pPr>
        <w:widowControl/>
        <w:ind w:left="420"/>
      </w:pPr>
      <w:r>
        <w:rPr>
          <w:rFonts w:hint="eastAsia"/>
        </w:rPr>
        <w:t>点击页签核对查看招生条件、基本信息、论文、科研等相关信息。确认无误点击下一步。</w:t>
      </w:r>
    </w:p>
    <w:p>
      <w:pPr>
        <w:widowControl/>
        <w:ind w:left="420"/>
      </w:pPr>
      <w:r>
        <w:drawing>
          <wp:inline distT="0" distB="0" distL="0" distR="0">
            <wp:extent cx="5486400" cy="2471420"/>
            <wp:effectExtent l="0" t="0" r="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7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left="420"/>
      </w:pPr>
      <w:r>
        <w:rPr>
          <w:rFonts w:hint="eastAsia"/>
        </w:rPr>
        <w:t>3、补充材料</w:t>
      </w:r>
    </w:p>
    <w:p>
      <w:pPr>
        <w:widowControl/>
        <w:ind w:left="420"/>
      </w:pPr>
      <w:r>
        <w:rPr>
          <w:rFonts w:hint="eastAsia"/>
        </w:rPr>
        <w:t>点击添加补充材料，可上传相关材料附件。（注：附件在导师申请期限内可随时更改替换，超过申请期限不可更改。）</w:t>
      </w:r>
    </w:p>
    <w:p>
      <w:pPr>
        <w:widowControl/>
        <w:ind w:left="420"/>
      </w:pPr>
      <w:r>
        <w:drawing>
          <wp:inline distT="0" distB="0" distL="0" distR="0">
            <wp:extent cx="5486400" cy="2437765"/>
            <wp:effectExtent l="0" t="0" r="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3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left="420"/>
      </w:pPr>
      <w:r>
        <w:rPr>
          <w:rFonts w:hint="eastAsia"/>
        </w:rPr>
        <w:t>4、确认招生专业</w:t>
      </w:r>
    </w:p>
    <w:p>
      <w:pPr>
        <w:widowControl/>
        <w:ind w:left="420"/>
      </w:pPr>
      <w:r>
        <w:rPr>
          <w:rFonts w:hint="eastAsia"/>
        </w:rPr>
        <w:t>根据招生专业，点击申请或者不申请，</w:t>
      </w:r>
      <w:r>
        <w:t>完成后点击提交</w:t>
      </w:r>
      <w:r>
        <w:rPr>
          <w:rFonts w:hint="eastAsia"/>
        </w:rPr>
        <w:t>申请。</w:t>
      </w:r>
    </w:p>
    <w:p>
      <w:pPr>
        <w:widowControl/>
        <w:ind w:left="420"/>
      </w:pPr>
      <w:r>
        <w:drawing>
          <wp:inline distT="0" distB="0" distL="0" distR="0">
            <wp:extent cx="5486400" cy="230695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0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left="420"/>
      </w:pPr>
    </w:p>
    <w:p>
      <w:pPr>
        <w:widowControl/>
        <w:ind w:left="420"/>
      </w:pPr>
      <w:r>
        <w:rPr>
          <w:rFonts w:hint="eastAsia"/>
        </w:rPr>
        <w:t>特别说明：如果确认招生点击“申请”，如果确认不招生点击“不申请”，并提交。如果提交错误，可向专业所在的招生学院秘书提出，由院系秘书进行修改。提交申请后，可在招生申请界面查看审核结果。</w:t>
      </w:r>
    </w:p>
    <w:p>
      <w:pPr>
        <w:pStyle w:val="2"/>
      </w:pPr>
      <w:r>
        <w:rPr>
          <w:rFonts w:hint="eastAsia"/>
        </w:rPr>
        <w:t>问题反馈</w:t>
      </w:r>
    </w:p>
    <w:p>
      <w:pPr>
        <w:ind w:firstLine="420"/>
      </w:pPr>
      <w:r>
        <w:rPr>
          <w:rFonts w:hint="eastAsia"/>
        </w:rPr>
        <w:t>如果系统使用过程中遇到问题，可以点击右下角的“意见反馈”按钮，系统会自动截取当前页面，可以把有疑问的地方圈起来，以便我们更好定位问题。系统问题也可直接致电：52090048咨询处理。</w:t>
      </w:r>
    </w:p>
    <w:p>
      <w:r>
        <w:drawing>
          <wp:inline distT="0" distB="0" distL="0" distR="0">
            <wp:extent cx="2275840" cy="1656715"/>
            <wp:effectExtent l="0" t="0" r="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76190" cy="1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614670" cy="3200400"/>
            <wp:effectExtent l="0" t="0" r="5080" b="0"/>
            <wp:docPr id="3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cstheme="minorEastAsia"/>
          <w:sz w:val="28"/>
          <w:szCs w:val="28"/>
        </w:rPr>
      </w:pPr>
    </w:p>
    <w:sectPr>
      <w:footerReference r:id="rId3" w:type="default"/>
      <w:footerReference r:id="rId4" w:type="even"/>
      <w:pgSz w:w="11906" w:h="16838"/>
      <w:pgMar w:top="2098" w:right="1474" w:bottom="1985" w:left="1588" w:header="851" w:footer="1418" w:gutter="0"/>
      <w:pgNumType w:fmt="numberInDash" w:start="0"/>
      <w:cols w:space="425" w:num="1"/>
      <w:titlePg/>
      <w:docGrid w:type="linesAndChars" w:linePitch="579" w:charSpace="-8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528474622"/>
    </w:sdtPr>
    <w:sdtContent>
      <w:p>
        <w:pPr>
          <w:pStyle w:val="6"/>
          <w:jc w:val="right"/>
        </w:pPr>
        <w:r>
          <w:rPr>
            <w:rFonts w:asciiTheme="minorEastAsia" w:hAnsiTheme="minorEastAsia" w:eastAsiaTheme="minorEastAsia"/>
            <w:sz w:val="28"/>
            <w:szCs w:val="28"/>
          </w:rPr>
          <w:fldChar w:fldCharType="begin"/>
        </w:r>
        <w:r>
          <w:rPr>
            <w:rFonts w:asciiTheme="minorEastAsia" w:hAnsiTheme="minorEastAsia" w:eastAsiaTheme="minorEastAsia"/>
            <w:sz w:val="28"/>
            <w:szCs w:val="28"/>
          </w:rPr>
          <w:instrText xml:space="preserve">PAGE   \* MERGEFORMAT</w:instrText>
        </w:r>
        <w:r>
          <w:rPr>
            <w:rFonts w:asciiTheme="minorEastAsia" w:hAnsiTheme="minorEastAsia" w:eastAsiaTheme="minorEastAsia"/>
            <w:sz w:val="28"/>
            <w:szCs w:val="28"/>
          </w:rPr>
          <w:fldChar w:fldCharType="separate"/>
        </w:r>
        <w:r>
          <w:rPr>
            <w:rFonts w:asciiTheme="minorEastAsia" w:hAnsiTheme="minorEastAsia" w:eastAsiaTheme="minorEastAsia"/>
            <w:sz w:val="28"/>
            <w:szCs w:val="28"/>
            <w:lang w:val="zh-CN"/>
          </w:rPr>
          <w:t>-</w:t>
        </w:r>
        <w:r>
          <w:rPr>
            <w:rFonts w:asciiTheme="minorEastAsia" w:hAnsiTheme="minorEastAsia" w:eastAsiaTheme="minorEastAsia"/>
            <w:sz w:val="28"/>
            <w:szCs w:val="28"/>
          </w:rPr>
          <w:t xml:space="preserve"> 1 -</w:t>
        </w:r>
        <w:r>
          <w:rPr>
            <w:rFonts w:asciiTheme="minorEastAsia" w:hAnsiTheme="minorEastAsia" w:eastAsiaTheme="minorEastAsia"/>
            <w:sz w:val="28"/>
            <w:szCs w:val="28"/>
          </w:rPr>
          <w:fldChar w:fldCharType="end"/>
        </w:r>
      </w:p>
    </w:sdtContent>
  </w:sdt>
  <w:p>
    <w:pPr>
      <w:pStyle w:val="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833185789"/>
    </w:sdtPr>
    <w:sdtContent>
      <w:p>
        <w:pPr>
          <w:pStyle w:val="6"/>
        </w:pPr>
        <w:r>
          <w:rPr>
            <w:rFonts w:asciiTheme="minorEastAsia" w:hAnsiTheme="minorEastAsia" w:eastAsiaTheme="minorEastAsia"/>
            <w:sz w:val="28"/>
            <w:szCs w:val="28"/>
          </w:rPr>
          <w:fldChar w:fldCharType="begin"/>
        </w:r>
        <w:r>
          <w:rPr>
            <w:rFonts w:asciiTheme="minorEastAsia" w:hAnsiTheme="minorEastAsia" w:eastAsiaTheme="minorEastAsia"/>
            <w:sz w:val="28"/>
            <w:szCs w:val="28"/>
          </w:rPr>
          <w:instrText xml:space="preserve">PAGE   \* MERGEFORMAT</w:instrText>
        </w:r>
        <w:r>
          <w:rPr>
            <w:rFonts w:asciiTheme="minorEastAsia" w:hAnsiTheme="minorEastAsia" w:eastAsiaTheme="minorEastAsia"/>
            <w:sz w:val="28"/>
            <w:szCs w:val="28"/>
          </w:rPr>
          <w:fldChar w:fldCharType="separate"/>
        </w:r>
        <w:r>
          <w:rPr>
            <w:rFonts w:asciiTheme="minorEastAsia" w:hAnsiTheme="minorEastAsia" w:eastAsiaTheme="minorEastAsia"/>
            <w:sz w:val="28"/>
            <w:szCs w:val="28"/>
            <w:lang w:val="zh-CN"/>
          </w:rPr>
          <w:t>-</w:t>
        </w:r>
        <w:r>
          <w:rPr>
            <w:rFonts w:asciiTheme="minorEastAsia" w:hAnsiTheme="minorEastAsia" w:eastAsiaTheme="minorEastAsia"/>
            <w:sz w:val="28"/>
            <w:szCs w:val="28"/>
          </w:rPr>
          <w:t xml:space="preserve"> 4 -</w:t>
        </w:r>
        <w:r>
          <w:rPr>
            <w:rFonts w:asciiTheme="minorEastAsia" w:hAnsiTheme="minorEastAsia" w:eastAsiaTheme="minorEastAsia"/>
            <w:sz w:val="28"/>
            <w:szCs w:val="28"/>
          </w:rPr>
          <w:fldChar w:fldCharType="end"/>
        </w:r>
      </w:p>
    </w:sdtContent>
  </w:sdt>
  <w:p>
    <w:pPr>
      <w:pStyle w:val="6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DC76A94"/>
    <w:multiLevelType w:val="multilevel"/>
    <w:tmpl w:val="5DC76A94"/>
    <w:lvl w:ilvl="0" w:tentative="0">
      <w:start w:val="1"/>
      <w:numFmt w:val="decimal"/>
      <w:pStyle w:val="3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E142444"/>
    <w:multiLevelType w:val="multilevel"/>
    <w:tmpl w:val="7E142444"/>
    <w:lvl w:ilvl="0" w:tentative="0">
      <w:start w:val="1"/>
      <w:numFmt w:val="chineseCountingThousand"/>
      <w:pStyle w:val="2"/>
      <w:lvlText w:val="%1、"/>
      <w:lvlJc w:val="left"/>
      <w:pPr>
        <w:ind w:left="420" w:hanging="420"/>
      </w:pPr>
      <w:rPr>
        <w:rFonts w:hint="eastAsia"/>
        <w:lang w:val="en-US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42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evenAndOddHeaders w:val="1"/>
  <w:drawingGridHorizontalSpacing w:val="158"/>
  <w:drawingGridVerticalSpacing w:val="579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822"/>
    <w:rsid w:val="00042188"/>
    <w:rsid w:val="0005193A"/>
    <w:rsid w:val="00065B5F"/>
    <w:rsid w:val="00072300"/>
    <w:rsid w:val="000A160E"/>
    <w:rsid w:val="000C0E75"/>
    <w:rsid w:val="000F6665"/>
    <w:rsid w:val="001015B6"/>
    <w:rsid w:val="00102DA9"/>
    <w:rsid w:val="00107625"/>
    <w:rsid w:val="00107B47"/>
    <w:rsid w:val="00115354"/>
    <w:rsid w:val="00153CA6"/>
    <w:rsid w:val="00177512"/>
    <w:rsid w:val="001819CB"/>
    <w:rsid w:val="00190320"/>
    <w:rsid w:val="001A2D03"/>
    <w:rsid w:val="001C5077"/>
    <w:rsid w:val="00213D33"/>
    <w:rsid w:val="002334E1"/>
    <w:rsid w:val="00256F48"/>
    <w:rsid w:val="0029397A"/>
    <w:rsid w:val="0030561C"/>
    <w:rsid w:val="00332877"/>
    <w:rsid w:val="003502DC"/>
    <w:rsid w:val="0036327F"/>
    <w:rsid w:val="00381F00"/>
    <w:rsid w:val="0039221F"/>
    <w:rsid w:val="00393394"/>
    <w:rsid w:val="003B0A50"/>
    <w:rsid w:val="003C113A"/>
    <w:rsid w:val="00460187"/>
    <w:rsid w:val="0046692B"/>
    <w:rsid w:val="00484C34"/>
    <w:rsid w:val="004E0AD8"/>
    <w:rsid w:val="004E7F85"/>
    <w:rsid w:val="00522E14"/>
    <w:rsid w:val="00530293"/>
    <w:rsid w:val="005368E9"/>
    <w:rsid w:val="005759B2"/>
    <w:rsid w:val="005A69BA"/>
    <w:rsid w:val="005D1723"/>
    <w:rsid w:val="00601860"/>
    <w:rsid w:val="00632458"/>
    <w:rsid w:val="00634919"/>
    <w:rsid w:val="00646A66"/>
    <w:rsid w:val="00691DE7"/>
    <w:rsid w:val="006B441E"/>
    <w:rsid w:val="006C12D9"/>
    <w:rsid w:val="006C34D3"/>
    <w:rsid w:val="006C65AC"/>
    <w:rsid w:val="006D1010"/>
    <w:rsid w:val="00720EF5"/>
    <w:rsid w:val="00743A55"/>
    <w:rsid w:val="00746FA8"/>
    <w:rsid w:val="007542E0"/>
    <w:rsid w:val="0075564E"/>
    <w:rsid w:val="00764949"/>
    <w:rsid w:val="007A4A0F"/>
    <w:rsid w:val="007B48F0"/>
    <w:rsid w:val="007C331F"/>
    <w:rsid w:val="007D1082"/>
    <w:rsid w:val="008249C7"/>
    <w:rsid w:val="00844D8D"/>
    <w:rsid w:val="00853E5D"/>
    <w:rsid w:val="008A3ADA"/>
    <w:rsid w:val="008B483C"/>
    <w:rsid w:val="008B59F2"/>
    <w:rsid w:val="008F23F3"/>
    <w:rsid w:val="008F7E44"/>
    <w:rsid w:val="009365B5"/>
    <w:rsid w:val="00953149"/>
    <w:rsid w:val="00987838"/>
    <w:rsid w:val="009E3912"/>
    <w:rsid w:val="009F005F"/>
    <w:rsid w:val="00A03B25"/>
    <w:rsid w:val="00A72113"/>
    <w:rsid w:val="00AA0048"/>
    <w:rsid w:val="00AB65D4"/>
    <w:rsid w:val="00AC3729"/>
    <w:rsid w:val="00AD5991"/>
    <w:rsid w:val="00B2511F"/>
    <w:rsid w:val="00B32A0B"/>
    <w:rsid w:val="00B47C6C"/>
    <w:rsid w:val="00B50822"/>
    <w:rsid w:val="00B80205"/>
    <w:rsid w:val="00BA2122"/>
    <w:rsid w:val="00BD0C71"/>
    <w:rsid w:val="00BE68D0"/>
    <w:rsid w:val="00C05E68"/>
    <w:rsid w:val="00CB35A7"/>
    <w:rsid w:val="00CE309E"/>
    <w:rsid w:val="00CF5EED"/>
    <w:rsid w:val="00D14269"/>
    <w:rsid w:val="00D22C0C"/>
    <w:rsid w:val="00D40891"/>
    <w:rsid w:val="00D5061D"/>
    <w:rsid w:val="00D71662"/>
    <w:rsid w:val="00D71BF5"/>
    <w:rsid w:val="00D77B0D"/>
    <w:rsid w:val="00D862B3"/>
    <w:rsid w:val="00D95CAA"/>
    <w:rsid w:val="00DA61FC"/>
    <w:rsid w:val="00DF29BC"/>
    <w:rsid w:val="00E06D67"/>
    <w:rsid w:val="00E1029C"/>
    <w:rsid w:val="00E51766"/>
    <w:rsid w:val="00EA36E3"/>
    <w:rsid w:val="00EB1AC0"/>
    <w:rsid w:val="00ED3293"/>
    <w:rsid w:val="00EF0C9B"/>
    <w:rsid w:val="00EF25E7"/>
    <w:rsid w:val="00EF6E71"/>
    <w:rsid w:val="00F43FE6"/>
    <w:rsid w:val="00F50666"/>
    <w:rsid w:val="00F772C1"/>
    <w:rsid w:val="00F84D52"/>
    <w:rsid w:val="00F973C8"/>
    <w:rsid w:val="00FD4B15"/>
    <w:rsid w:val="00FF12B2"/>
    <w:rsid w:val="00FF798E"/>
    <w:rsid w:val="038F51E3"/>
    <w:rsid w:val="058B5AB3"/>
    <w:rsid w:val="05D624C0"/>
    <w:rsid w:val="06EF2E5F"/>
    <w:rsid w:val="09180088"/>
    <w:rsid w:val="0AA13EB9"/>
    <w:rsid w:val="0D4D1E8C"/>
    <w:rsid w:val="0ED035AA"/>
    <w:rsid w:val="100276B4"/>
    <w:rsid w:val="12403A27"/>
    <w:rsid w:val="12EA1960"/>
    <w:rsid w:val="13FD40DC"/>
    <w:rsid w:val="142332CC"/>
    <w:rsid w:val="1723384F"/>
    <w:rsid w:val="172F7DA2"/>
    <w:rsid w:val="17D77DB2"/>
    <w:rsid w:val="1AAE0944"/>
    <w:rsid w:val="1E1011CA"/>
    <w:rsid w:val="1F526761"/>
    <w:rsid w:val="1FDB4407"/>
    <w:rsid w:val="20585C0F"/>
    <w:rsid w:val="205E07B5"/>
    <w:rsid w:val="23045156"/>
    <w:rsid w:val="238C0F25"/>
    <w:rsid w:val="259F44C0"/>
    <w:rsid w:val="28BF7B98"/>
    <w:rsid w:val="29A4282D"/>
    <w:rsid w:val="2A3D0F79"/>
    <w:rsid w:val="2D483B43"/>
    <w:rsid w:val="31862298"/>
    <w:rsid w:val="34D7033C"/>
    <w:rsid w:val="367B1F4E"/>
    <w:rsid w:val="37A25EEA"/>
    <w:rsid w:val="39CE45A7"/>
    <w:rsid w:val="3B3538B6"/>
    <w:rsid w:val="3EC20DBF"/>
    <w:rsid w:val="3EFD70F7"/>
    <w:rsid w:val="3F9D7333"/>
    <w:rsid w:val="413914C6"/>
    <w:rsid w:val="431C2432"/>
    <w:rsid w:val="43C76315"/>
    <w:rsid w:val="47443317"/>
    <w:rsid w:val="48295AFD"/>
    <w:rsid w:val="49D144AE"/>
    <w:rsid w:val="49D628F6"/>
    <w:rsid w:val="4ABD4848"/>
    <w:rsid w:val="51547F9A"/>
    <w:rsid w:val="51F37849"/>
    <w:rsid w:val="55E24077"/>
    <w:rsid w:val="594234B0"/>
    <w:rsid w:val="5A5A44A4"/>
    <w:rsid w:val="5F6361DC"/>
    <w:rsid w:val="60DE30A0"/>
    <w:rsid w:val="618A0DEF"/>
    <w:rsid w:val="61CD0018"/>
    <w:rsid w:val="61DA11C3"/>
    <w:rsid w:val="69085706"/>
    <w:rsid w:val="6A9C1A54"/>
    <w:rsid w:val="6B9726C1"/>
    <w:rsid w:val="6D90357B"/>
    <w:rsid w:val="6FCF52A1"/>
    <w:rsid w:val="707A450F"/>
    <w:rsid w:val="780411C4"/>
    <w:rsid w:val="78B14BFC"/>
    <w:rsid w:val="7B9D4281"/>
    <w:rsid w:val="7DEA6520"/>
    <w:rsid w:val="7F932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" w:cstheme="minorBidi"/>
      <w:kern w:val="2"/>
      <w:sz w:val="32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numPr>
        <w:ilvl w:val="0"/>
        <w:numId w:val="1"/>
      </w:numPr>
      <w:spacing w:before="340" w:after="330"/>
      <w:outlineLvl w:val="0"/>
    </w:pPr>
    <w:rPr>
      <w:rFonts w:eastAsia="黑体"/>
      <w:bCs/>
      <w:kern w:val="44"/>
      <w:szCs w:val="44"/>
    </w:rPr>
  </w:style>
  <w:style w:type="paragraph" w:styleId="3">
    <w:name w:val="heading 2"/>
    <w:basedOn w:val="1"/>
    <w:next w:val="1"/>
    <w:link w:val="18"/>
    <w:unhideWhenUsed/>
    <w:qFormat/>
    <w:uiPriority w:val="9"/>
    <w:pPr>
      <w:keepNext/>
      <w:keepLines/>
      <w:numPr>
        <w:ilvl w:val="0"/>
        <w:numId w:val="2"/>
      </w:numPr>
      <w:spacing w:before="260" w:after="260"/>
      <w:outlineLvl w:val="1"/>
    </w:pPr>
    <w:rPr>
      <w:rFonts w:eastAsia="楷体" w:asciiTheme="majorHAnsi" w:hAnsiTheme="majorHAnsi" w:cstheme="majorBidi"/>
      <w:bCs/>
      <w:szCs w:val="32"/>
    </w:rPr>
  </w:style>
  <w:style w:type="paragraph" w:styleId="4">
    <w:name w:val="heading 3"/>
    <w:basedOn w:val="1"/>
    <w:next w:val="1"/>
    <w:link w:val="19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Cs w:val="32"/>
    </w:rPr>
  </w:style>
  <w:style w:type="character" w:default="1" w:styleId="12">
    <w:name w:val="Default Paragraph Font"/>
    <w:semiHidden/>
    <w:unhideWhenUsed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24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</w:style>
  <w:style w:type="paragraph" w:styleId="9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0">
    <w:name w:val="Title"/>
    <w:basedOn w:val="1"/>
    <w:next w:val="1"/>
    <w:link w:val="16"/>
    <w:qFormat/>
    <w:uiPriority w:val="10"/>
    <w:pPr>
      <w:spacing w:before="240" w:after="60"/>
      <w:jc w:val="center"/>
      <w:outlineLvl w:val="0"/>
    </w:pPr>
    <w:rPr>
      <w:rFonts w:eastAsia="方正小标宋简体" w:asciiTheme="majorHAnsi" w:hAnsiTheme="majorHAnsi" w:cstheme="majorBidi"/>
      <w:bCs/>
      <w:sz w:val="44"/>
      <w:szCs w:val="32"/>
    </w:rPr>
  </w:style>
  <w:style w:type="character" w:styleId="13">
    <w:name w:val="Hyperlink"/>
    <w:basedOn w:val="1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页眉 Char"/>
    <w:basedOn w:val="12"/>
    <w:link w:val="7"/>
    <w:qFormat/>
    <w:uiPriority w:val="99"/>
    <w:rPr>
      <w:rFonts w:ascii="Times New Roman" w:hAnsi="Times New Roman" w:eastAsia="仿宋"/>
      <w:sz w:val="18"/>
      <w:szCs w:val="18"/>
    </w:rPr>
  </w:style>
  <w:style w:type="character" w:customStyle="1" w:styleId="15">
    <w:name w:val="页脚 Char"/>
    <w:basedOn w:val="12"/>
    <w:link w:val="6"/>
    <w:qFormat/>
    <w:uiPriority w:val="99"/>
    <w:rPr>
      <w:rFonts w:ascii="Times New Roman" w:hAnsi="Times New Roman" w:eastAsia="仿宋"/>
      <w:sz w:val="18"/>
      <w:szCs w:val="18"/>
    </w:rPr>
  </w:style>
  <w:style w:type="character" w:customStyle="1" w:styleId="16">
    <w:name w:val="标题 Char"/>
    <w:basedOn w:val="12"/>
    <w:link w:val="10"/>
    <w:qFormat/>
    <w:uiPriority w:val="10"/>
    <w:rPr>
      <w:rFonts w:eastAsia="方正小标宋简体" w:asciiTheme="majorHAnsi" w:hAnsiTheme="majorHAnsi" w:cstheme="majorBidi"/>
      <w:bCs/>
      <w:sz w:val="44"/>
      <w:szCs w:val="32"/>
    </w:rPr>
  </w:style>
  <w:style w:type="character" w:customStyle="1" w:styleId="17">
    <w:name w:val="标题 1 Char"/>
    <w:basedOn w:val="12"/>
    <w:link w:val="2"/>
    <w:qFormat/>
    <w:uiPriority w:val="9"/>
    <w:rPr>
      <w:rFonts w:ascii="Times New Roman" w:hAnsi="Times New Roman" w:eastAsia="黑体"/>
      <w:bCs/>
      <w:kern w:val="44"/>
      <w:sz w:val="32"/>
      <w:szCs w:val="44"/>
    </w:rPr>
  </w:style>
  <w:style w:type="character" w:customStyle="1" w:styleId="18">
    <w:name w:val="标题 2 Char"/>
    <w:basedOn w:val="12"/>
    <w:link w:val="3"/>
    <w:qFormat/>
    <w:uiPriority w:val="9"/>
    <w:rPr>
      <w:rFonts w:eastAsia="楷体" w:asciiTheme="majorHAnsi" w:hAnsiTheme="majorHAnsi" w:cstheme="majorBidi"/>
      <w:bCs/>
      <w:sz w:val="32"/>
      <w:szCs w:val="32"/>
    </w:rPr>
  </w:style>
  <w:style w:type="character" w:customStyle="1" w:styleId="19">
    <w:name w:val="标题 3 Char"/>
    <w:basedOn w:val="12"/>
    <w:link w:val="4"/>
    <w:qFormat/>
    <w:uiPriority w:val="9"/>
    <w:rPr>
      <w:rFonts w:ascii="Times New Roman" w:hAnsi="Times New Roman" w:eastAsia="仿宋"/>
      <w:b/>
      <w:bCs/>
      <w:sz w:val="32"/>
      <w:szCs w:val="32"/>
    </w:rPr>
  </w:style>
  <w:style w:type="paragraph" w:styleId="20">
    <w:name w:val="List Paragraph"/>
    <w:basedOn w:val="1"/>
    <w:qFormat/>
    <w:uiPriority w:val="34"/>
    <w:pPr>
      <w:ind w:firstLine="420" w:firstLineChars="200"/>
    </w:pPr>
  </w:style>
  <w:style w:type="paragraph" w:customStyle="1" w:styleId="21">
    <w:name w:val="TOC 标题1"/>
    <w:basedOn w:val="2"/>
    <w:next w:val="1"/>
    <w:unhideWhenUsed/>
    <w:qFormat/>
    <w:uiPriority w:val="39"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Cs w:val="0"/>
      <w:color w:val="2E75B6" w:themeColor="accent1" w:themeShade="BF"/>
      <w:kern w:val="0"/>
      <w:szCs w:val="32"/>
    </w:rPr>
  </w:style>
  <w:style w:type="paragraph" w:styleId="22">
    <w:name w:val="No Spacing"/>
    <w:link w:val="23"/>
    <w:qFormat/>
    <w:uiPriority w:val="1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customStyle="1" w:styleId="23">
    <w:name w:val="无间隔 Char"/>
    <w:basedOn w:val="12"/>
    <w:link w:val="22"/>
    <w:qFormat/>
    <w:uiPriority w:val="1"/>
    <w:rPr>
      <w:kern w:val="0"/>
      <w:sz w:val="22"/>
    </w:rPr>
  </w:style>
  <w:style w:type="character" w:customStyle="1" w:styleId="24">
    <w:name w:val="批注框文本 Char"/>
    <w:basedOn w:val="12"/>
    <w:link w:val="5"/>
    <w:semiHidden/>
    <w:uiPriority w:val="99"/>
    <w:rPr>
      <w:rFonts w:eastAsia="仿宋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numbering" Target="numbering.xml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34A04D-7807-4046-B733-E9888F2E90A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638</Words>
  <Characters>732</Characters>
  <Lines>6</Lines>
  <Paragraphs>1</Paragraphs>
  <TotalTime>655</TotalTime>
  <ScaleCrop>false</ScaleCrop>
  <LinksUpToDate>false</LinksUpToDate>
  <CharactersWithSpaces>732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2019-12-30T09:03:00Z</dcterms:created>
  <dc:creator>Fang</dc:creator>
  <cp:lastModifiedBy>。within</cp:lastModifiedBy>
  <dcterms:modified xsi:type="dcterms:W3CDTF">2022-09-13T02:31:12Z</dcterms:modified>
  <cp:revision>42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449F1692D64D45FDA88A1F9EA377A58D</vt:lpwstr>
  </property>
</Properties>
</file>